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2426AE" w14:paraId="6E2FFEC6" w14:textId="77777777">
        <w:tblPrEx>
          <w:tblCellMar>
            <w:top w:w="0" w:type="dxa"/>
            <w:bottom w:w="0" w:type="dxa"/>
          </w:tblCellMar>
        </w:tblPrEx>
        <w:trPr>
          <w:tblCellSpacing w:w="60" w:type="dxa"/>
        </w:trPr>
        <w:tc>
          <w:tcPr>
            <w:tcW w:w="1200" w:type="pct"/>
            <w:shd w:val="clear" w:color="auto" w:fill="E7F0F9"/>
          </w:tcPr>
          <w:p w14:paraId="2321AFB6" w14:textId="77777777" w:rsidR="002426AE" w:rsidRDefault="000917D2">
            <w:pPr>
              <w:spacing w:after="0" w:line="240" w:lineRule="auto"/>
            </w:pPr>
            <w:r>
              <w:rPr>
                <w:b/>
              </w:rPr>
              <w:t>RKP broj</w:t>
            </w:r>
          </w:p>
        </w:tc>
        <w:tc>
          <w:tcPr>
            <w:tcW w:w="0" w:type="auto"/>
            <w:shd w:val="clear" w:color="auto" w:fill="E7F0F9"/>
          </w:tcPr>
          <w:p w14:paraId="5E5E9967" w14:textId="77777777" w:rsidR="002426AE" w:rsidRDefault="000917D2">
            <w:pPr>
              <w:spacing w:after="0" w:line="240" w:lineRule="auto"/>
            </w:pPr>
            <w:r>
              <w:t>11742</w:t>
            </w:r>
          </w:p>
        </w:tc>
      </w:tr>
      <w:tr w:rsidR="002426AE" w14:paraId="42861AE4" w14:textId="77777777">
        <w:tblPrEx>
          <w:tblCellMar>
            <w:top w:w="0" w:type="dxa"/>
            <w:bottom w:w="0" w:type="dxa"/>
          </w:tblCellMar>
        </w:tblPrEx>
        <w:trPr>
          <w:tblCellSpacing w:w="60" w:type="dxa"/>
        </w:trPr>
        <w:tc>
          <w:tcPr>
            <w:tcW w:w="1200" w:type="pct"/>
            <w:shd w:val="clear" w:color="auto" w:fill="E7F0F9"/>
          </w:tcPr>
          <w:p w14:paraId="424DE385" w14:textId="77777777" w:rsidR="002426AE" w:rsidRDefault="000917D2">
            <w:pPr>
              <w:spacing w:after="0" w:line="240" w:lineRule="auto"/>
            </w:pPr>
            <w:r>
              <w:rPr>
                <w:b/>
              </w:rPr>
              <w:t>Naziv obveznika</w:t>
            </w:r>
          </w:p>
        </w:tc>
        <w:tc>
          <w:tcPr>
            <w:tcW w:w="0" w:type="auto"/>
            <w:shd w:val="clear" w:color="auto" w:fill="E7F0F9"/>
          </w:tcPr>
          <w:p w14:paraId="411E4D3E" w14:textId="77777777" w:rsidR="002426AE" w:rsidRDefault="000917D2">
            <w:pPr>
              <w:spacing w:after="0" w:line="240" w:lineRule="auto"/>
            </w:pPr>
            <w:r>
              <w:t>O.Š. IVANA GORANA KOVAČIĆA, LIŠANE OSTROVIČKE</w:t>
            </w:r>
          </w:p>
        </w:tc>
      </w:tr>
      <w:tr w:rsidR="002426AE" w14:paraId="0C8D1FBB" w14:textId="77777777">
        <w:tblPrEx>
          <w:tblCellMar>
            <w:top w:w="0" w:type="dxa"/>
            <w:bottom w:w="0" w:type="dxa"/>
          </w:tblCellMar>
        </w:tblPrEx>
        <w:trPr>
          <w:tblCellSpacing w:w="60" w:type="dxa"/>
        </w:trPr>
        <w:tc>
          <w:tcPr>
            <w:tcW w:w="1200" w:type="pct"/>
            <w:shd w:val="clear" w:color="auto" w:fill="E7F0F9"/>
          </w:tcPr>
          <w:p w14:paraId="2DC26EBA" w14:textId="77777777" w:rsidR="002426AE" w:rsidRDefault="000917D2">
            <w:pPr>
              <w:spacing w:after="0" w:line="240" w:lineRule="auto"/>
            </w:pPr>
            <w:r>
              <w:rPr>
                <w:b/>
              </w:rPr>
              <w:t>Razina</w:t>
            </w:r>
          </w:p>
        </w:tc>
        <w:tc>
          <w:tcPr>
            <w:tcW w:w="0" w:type="auto"/>
            <w:shd w:val="clear" w:color="auto" w:fill="E7F0F9"/>
          </w:tcPr>
          <w:p w14:paraId="171E9D81" w14:textId="77777777" w:rsidR="002426AE" w:rsidRDefault="000917D2">
            <w:pPr>
              <w:spacing w:after="0" w:line="240" w:lineRule="auto"/>
            </w:pPr>
            <w:r>
              <w:t>31</w:t>
            </w:r>
          </w:p>
        </w:tc>
      </w:tr>
    </w:tbl>
    <w:p w14:paraId="1D06EF73" w14:textId="77777777" w:rsidR="002426AE" w:rsidRDefault="000917D2">
      <w:r>
        <w:br/>
      </w:r>
    </w:p>
    <w:p w14:paraId="2E1CD031" w14:textId="77777777" w:rsidR="002426AE" w:rsidRDefault="000917D2">
      <w:pPr>
        <w:spacing w:line="240" w:lineRule="auto"/>
        <w:jc w:val="center"/>
      </w:pPr>
      <w:r>
        <w:rPr>
          <w:b/>
          <w:sz w:val="28"/>
        </w:rPr>
        <w:t>BILJEŠKE UZ FINANCIJSKE IZVJEŠTAJE</w:t>
      </w:r>
    </w:p>
    <w:p w14:paraId="226BB13C" w14:textId="77777777" w:rsidR="002426AE" w:rsidRDefault="000917D2">
      <w:pPr>
        <w:spacing w:line="240" w:lineRule="auto"/>
        <w:jc w:val="center"/>
      </w:pPr>
      <w:r>
        <w:rPr>
          <w:b/>
          <w:sz w:val="28"/>
        </w:rPr>
        <w:t>ZA RAZDOBLJE</w:t>
      </w:r>
    </w:p>
    <w:p w14:paraId="187AFE93" w14:textId="77777777" w:rsidR="002426AE" w:rsidRDefault="000917D2">
      <w:pPr>
        <w:spacing w:line="240" w:lineRule="auto"/>
        <w:jc w:val="center"/>
      </w:pPr>
      <w:r>
        <w:rPr>
          <w:b/>
          <w:sz w:val="28"/>
        </w:rPr>
        <w:t>I - XII 2025.</w:t>
      </w:r>
    </w:p>
    <w:p w14:paraId="41851496" w14:textId="77777777" w:rsidR="002426AE" w:rsidRDefault="002426AE"/>
    <w:p w14:paraId="29738766" w14:textId="77777777" w:rsidR="002426AE" w:rsidRDefault="000917D2">
      <w:pPr>
        <w:keepNext/>
        <w:spacing w:line="240" w:lineRule="auto"/>
        <w:jc w:val="center"/>
      </w:pPr>
      <w:r>
        <w:rPr>
          <w:b/>
          <w:sz w:val="28"/>
        </w:rPr>
        <w:t>Izvještaj o prihodima i rashodima, primicima i izdacima</w:t>
      </w:r>
    </w:p>
    <w:p w14:paraId="501E23C7" w14:textId="77777777" w:rsidR="002426AE" w:rsidRDefault="000917D2">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426AE" w14:paraId="46CF6B9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F4F6D53" w14:textId="77777777" w:rsidR="002426AE" w:rsidRDefault="000917D2">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521CF70" w14:textId="77777777" w:rsidR="002426AE" w:rsidRDefault="000917D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D1FBDB3" w14:textId="77777777" w:rsidR="002426AE" w:rsidRDefault="000917D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5BD56D7" w14:textId="77777777" w:rsidR="002426AE" w:rsidRDefault="000917D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BB955A3" w14:textId="77777777" w:rsidR="002426AE" w:rsidRDefault="000917D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0173EC1" w14:textId="77777777" w:rsidR="002426AE" w:rsidRDefault="000917D2">
            <w:pPr>
              <w:keepNext/>
              <w:keepLines/>
              <w:spacing w:after="0" w:line="240" w:lineRule="auto"/>
              <w:jc w:val="center"/>
            </w:pPr>
            <w:r>
              <w:rPr>
                <w:b/>
                <w:sz w:val="18"/>
              </w:rPr>
              <w:t>Indeks (%)</w:t>
            </w:r>
          </w:p>
        </w:tc>
      </w:tr>
      <w:tr w:rsidR="002426AE" w14:paraId="664D8220" w14:textId="77777777">
        <w:tblPrEx>
          <w:tblCellMar>
            <w:top w:w="0" w:type="dxa"/>
            <w:bottom w:w="0" w:type="dxa"/>
          </w:tblCellMar>
        </w:tblPrEx>
        <w:trPr>
          <w:cantSplit/>
          <w:trHeight w:val="560"/>
        </w:trPr>
        <w:tc>
          <w:tcPr>
            <w:tcW w:w="700" w:type="dxa"/>
            <w:tcMar>
              <w:top w:w="0" w:type="dxa"/>
              <w:bottom w:w="0" w:type="dxa"/>
            </w:tcMar>
            <w:vAlign w:val="center"/>
          </w:tcPr>
          <w:p w14:paraId="1E5EAAD0" w14:textId="77777777" w:rsidR="002426AE" w:rsidRDefault="000917D2">
            <w:pPr>
              <w:keepNext/>
              <w:keepLines/>
              <w:spacing w:after="0" w:line="240" w:lineRule="auto"/>
            </w:pPr>
            <w:r>
              <w:rPr>
                <w:sz w:val="18"/>
              </w:rPr>
              <w:t>6</w:t>
            </w:r>
          </w:p>
        </w:tc>
        <w:tc>
          <w:tcPr>
            <w:tcW w:w="3180" w:type="dxa"/>
            <w:tcMar>
              <w:top w:w="0" w:type="dxa"/>
              <w:bottom w:w="0" w:type="dxa"/>
            </w:tcMar>
            <w:vAlign w:val="center"/>
          </w:tcPr>
          <w:p w14:paraId="30CBC12F" w14:textId="77777777" w:rsidR="002426AE" w:rsidRDefault="000917D2">
            <w:pPr>
              <w:keepNext/>
              <w:keepLines/>
              <w:spacing w:after="0" w:line="240" w:lineRule="auto"/>
            </w:pPr>
            <w:r>
              <w:rPr>
                <w:sz w:val="18"/>
              </w:rPr>
              <w:t xml:space="preserve">PRIHODI POSLOVANJA (šifre </w:t>
            </w:r>
            <w:r>
              <w:rPr>
                <w:sz w:val="18"/>
              </w:rPr>
              <w:t>61+62+63+64+65+66+67+68)</w:t>
            </w:r>
          </w:p>
        </w:tc>
        <w:tc>
          <w:tcPr>
            <w:tcW w:w="700" w:type="dxa"/>
            <w:tcMar>
              <w:top w:w="0" w:type="dxa"/>
              <w:bottom w:w="0" w:type="dxa"/>
            </w:tcMar>
            <w:vAlign w:val="center"/>
          </w:tcPr>
          <w:p w14:paraId="13BEF6D4" w14:textId="77777777" w:rsidR="002426AE" w:rsidRDefault="000917D2">
            <w:pPr>
              <w:keepNext/>
              <w:keepLines/>
              <w:spacing w:after="0" w:line="240" w:lineRule="auto"/>
            </w:pPr>
            <w:r>
              <w:rPr>
                <w:sz w:val="18"/>
              </w:rPr>
              <w:t>6</w:t>
            </w:r>
          </w:p>
        </w:tc>
        <w:tc>
          <w:tcPr>
            <w:tcW w:w="1860" w:type="dxa"/>
            <w:tcMar>
              <w:top w:w="0" w:type="dxa"/>
              <w:bottom w:w="0" w:type="dxa"/>
            </w:tcMar>
            <w:vAlign w:val="center"/>
          </w:tcPr>
          <w:p w14:paraId="200FD2D2" w14:textId="77777777" w:rsidR="002426AE" w:rsidRDefault="000917D2">
            <w:pPr>
              <w:keepNext/>
              <w:keepLines/>
              <w:spacing w:after="0" w:line="240" w:lineRule="auto"/>
              <w:jc w:val="right"/>
            </w:pPr>
            <w:r>
              <w:rPr>
                <w:sz w:val="18"/>
              </w:rPr>
              <w:t>684.053,29</w:t>
            </w:r>
          </w:p>
        </w:tc>
        <w:tc>
          <w:tcPr>
            <w:tcW w:w="1860" w:type="dxa"/>
            <w:tcMar>
              <w:top w:w="0" w:type="dxa"/>
              <w:bottom w:w="0" w:type="dxa"/>
            </w:tcMar>
            <w:vAlign w:val="center"/>
          </w:tcPr>
          <w:p w14:paraId="1A1797C9" w14:textId="77777777" w:rsidR="002426AE" w:rsidRDefault="000917D2">
            <w:pPr>
              <w:keepNext/>
              <w:keepLines/>
              <w:spacing w:after="0" w:line="240" w:lineRule="auto"/>
              <w:jc w:val="right"/>
            </w:pPr>
            <w:r>
              <w:rPr>
                <w:sz w:val="18"/>
              </w:rPr>
              <w:t>810.538,25</w:t>
            </w:r>
          </w:p>
        </w:tc>
        <w:tc>
          <w:tcPr>
            <w:tcW w:w="700" w:type="dxa"/>
            <w:tcMar>
              <w:top w:w="0" w:type="dxa"/>
              <w:bottom w:w="0" w:type="dxa"/>
            </w:tcMar>
            <w:vAlign w:val="center"/>
          </w:tcPr>
          <w:p w14:paraId="1626B72A" w14:textId="77777777" w:rsidR="002426AE" w:rsidRDefault="000917D2">
            <w:pPr>
              <w:keepNext/>
              <w:keepLines/>
              <w:spacing w:after="0" w:line="240" w:lineRule="auto"/>
              <w:jc w:val="right"/>
            </w:pPr>
            <w:r>
              <w:rPr>
                <w:sz w:val="18"/>
              </w:rPr>
              <w:t>118,5</w:t>
            </w:r>
          </w:p>
        </w:tc>
      </w:tr>
      <w:tr w:rsidR="002426AE" w14:paraId="66011EFA" w14:textId="77777777">
        <w:tblPrEx>
          <w:tblCellMar>
            <w:top w:w="0" w:type="dxa"/>
            <w:bottom w:w="0" w:type="dxa"/>
          </w:tblCellMar>
        </w:tblPrEx>
        <w:trPr>
          <w:cantSplit/>
          <w:trHeight w:val="560"/>
        </w:trPr>
        <w:tc>
          <w:tcPr>
            <w:tcW w:w="700" w:type="dxa"/>
            <w:tcMar>
              <w:top w:w="0" w:type="dxa"/>
              <w:bottom w:w="0" w:type="dxa"/>
            </w:tcMar>
            <w:vAlign w:val="center"/>
          </w:tcPr>
          <w:p w14:paraId="4685E47C" w14:textId="77777777" w:rsidR="002426AE" w:rsidRDefault="000917D2">
            <w:pPr>
              <w:keepNext/>
              <w:keepLines/>
              <w:spacing w:after="0" w:line="240" w:lineRule="auto"/>
            </w:pPr>
            <w:r>
              <w:rPr>
                <w:sz w:val="18"/>
              </w:rPr>
              <w:t>3</w:t>
            </w:r>
          </w:p>
        </w:tc>
        <w:tc>
          <w:tcPr>
            <w:tcW w:w="3180" w:type="dxa"/>
            <w:tcMar>
              <w:top w:w="0" w:type="dxa"/>
              <w:bottom w:w="0" w:type="dxa"/>
            </w:tcMar>
            <w:vAlign w:val="center"/>
          </w:tcPr>
          <w:p w14:paraId="199B413D" w14:textId="77777777" w:rsidR="002426AE" w:rsidRDefault="000917D2">
            <w:pPr>
              <w:keepNext/>
              <w:keepLines/>
              <w:spacing w:after="0" w:line="240" w:lineRule="auto"/>
            </w:pPr>
            <w:r>
              <w:rPr>
                <w:sz w:val="18"/>
              </w:rPr>
              <w:t>RASHODI POSLOVANJA (šifre 31+32+34+35+36+37+38)</w:t>
            </w:r>
          </w:p>
        </w:tc>
        <w:tc>
          <w:tcPr>
            <w:tcW w:w="700" w:type="dxa"/>
            <w:tcMar>
              <w:top w:w="0" w:type="dxa"/>
              <w:bottom w:w="0" w:type="dxa"/>
            </w:tcMar>
            <w:vAlign w:val="center"/>
          </w:tcPr>
          <w:p w14:paraId="742292FB" w14:textId="77777777" w:rsidR="002426AE" w:rsidRDefault="000917D2">
            <w:pPr>
              <w:keepNext/>
              <w:keepLines/>
              <w:spacing w:after="0" w:line="240" w:lineRule="auto"/>
            </w:pPr>
            <w:r>
              <w:rPr>
                <w:sz w:val="18"/>
              </w:rPr>
              <w:t>3</w:t>
            </w:r>
          </w:p>
        </w:tc>
        <w:tc>
          <w:tcPr>
            <w:tcW w:w="1860" w:type="dxa"/>
            <w:tcMar>
              <w:top w:w="0" w:type="dxa"/>
              <w:bottom w:w="0" w:type="dxa"/>
            </w:tcMar>
            <w:vAlign w:val="center"/>
          </w:tcPr>
          <w:p w14:paraId="6D6D8E82" w14:textId="77777777" w:rsidR="002426AE" w:rsidRDefault="000917D2">
            <w:pPr>
              <w:keepNext/>
              <w:keepLines/>
              <w:spacing w:after="0" w:line="240" w:lineRule="auto"/>
              <w:jc w:val="right"/>
            </w:pPr>
            <w:r>
              <w:rPr>
                <w:sz w:val="18"/>
              </w:rPr>
              <w:t>672.575,32</w:t>
            </w:r>
          </w:p>
        </w:tc>
        <w:tc>
          <w:tcPr>
            <w:tcW w:w="1860" w:type="dxa"/>
            <w:tcMar>
              <w:top w:w="0" w:type="dxa"/>
              <w:bottom w:w="0" w:type="dxa"/>
            </w:tcMar>
            <w:vAlign w:val="center"/>
          </w:tcPr>
          <w:p w14:paraId="1F00FDA6" w14:textId="77777777" w:rsidR="002426AE" w:rsidRDefault="000917D2">
            <w:pPr>
              <w:keepNext/>
              <w:keepLines/>
              <w:spacing w:after="0" w:line="240" w:lineRule="auto"/>
              <w:jc w:val="right"/>
            </w:pPr>
            <w:r>
              <w:rPr>
                <w:sz w:val="18"/>
              </w:rPr>
              <w:t>793.132,19</w:t>
            </w:r>
          </w:p>
        </w:tc>
        <w:tc>
          <w:tcPr>
            <w:tcW w:w="700" w:type="dxa"/>
            <w:tcMar>
              <w:top w:w="0" w:type="dxa"/>
              <w:bottom w:w="0" w:type="dxa"/>
            </w:tcMar>
            <w:vAlign w:val="center"/>
          </w:tcPr>
          <w:p w14:paraId="040F9CDB" w14:textId="77777777" w:rsidR="002426AE" w:rsidRDefault="000917D2">
            <w:pPr>
              <w:keepNext/>
              <w:keepLines/>
              <w:spacing w:after="0" w:line="240" w:lineRule="auto"/>
              <w:jc w:val="right"/>
            </w:pPr>
            <w:r>
              <w:rPr>
                <w:sz w:val="18"/>
              </w:rPr>
              <w:t>117,9</w:t>
            </w:r>
          </w:p>
        </w:tc>
      </w:tr>
      <w:tr w:rsidR="002426AE" w14:paraId="3E760375" w14:textId="77777777">
        <w:tblPrEx>
          <w:tblCellMar>
            <w:top w:w="0" w:type="dxa"/>
            <w:bottom w:w="0" w:type="dxa"/>
          </w:tblCellMar>
        </w:tblPrEx>
        <w:trPr>
          <w:cantSplit/>
          <w:trHeight w:val="560"/>
        </w:trPr>
        <w:tc>
          <w:tcPr>
            <w:tcW w:w="700" w:type="dxa"/>
            <w:tcMar>
              <w:top w:w="0" w:type="dxa"/>
              <w:bottom w:w="0" w:type="dxa"/>
            </w:tcMar>
            <w:vAlign w:val="center"/>
          </w:tcPr>
          <w:p w14:paraId="540E371C" w14:textId="77777777" w:rsidR="002426AE" w:rsidRDefault="002426AE">
            <w:pPr>
              <w:keepNext/>
              <w:keepLines/>
              <w:spacing w:after="0" w:line="240" w:lineRule="auto"/>
            </w:pPr>
          </w:p>
        </w:tc>
        <w:tc>
          <w:tcPr>
            <w:tcW w:w="3180" w:type="dxa"/>
            <w:tcMar>
              <w:top w:w="0" w:type="dxa"/>
              <w:bottom w:w="0" w:type="dxa"/>
            </w:tcMar>
            <w:vAlign w:val="center"/>
          </w:tcPr>
          <w:p w14:paraId="4065024A" w14:textId="77777777" w:rsidR="002426AE" w:rsidRDefault="000917D2">
            <w:pPr>
              <w:keepNext/>
              <w:keepLines/>
              <w:spacing w:after="0" w:line="240" w:lineRule="auto"/>
            </w:pPr>
            <w:r>
              <w:rPr>
                <w:b/>
                <w:sz w:val="18"/>
              </w:rPr>
              <w:t>VIŠAK PRIHODA POSLOVANJA (šifre 6-Z005)</w:t>
            </w:r>
          </w:p>
        </w:tc>
        <w:tc>
          <w:tcPr>
            <w:tcW w:w="700" w:type="dxa"/>
            <w:tcMar>
              <w:top w:w="0" w:type="dxa"/>
              <w:bottom w:w="0" w:type="dxa"/>
            </w:tcMar>
            <w:vAlign w:val="center"/>
          </w:tcPr>
          <w:p w14:paraId="7E15B7E8" w14:textId="77777777" w:rsidR="002426AE" w:rsidRDefault="000917D2">
            <w:pPr>
              <w:keepNext/>
              <w:keepLines/>
              <w:spacing w:after="0" w:line="240" w:lineRule="auto"/>
            </w:pPr>
            <w:r>
              <w:rPr>
                <w:b/>
                <w:sz w:val="18"/>
              </w:rPr>
              <w:t>X001</w:t>
            </w:r>
          </w:p>
        </w:tc>
        <w:tc>
          <w:tcPr>
            <w:tcW w:w="1860" w:type="dxa"/>
            <w:tcMar>
              <w:top w:w="0" w:type="dxa"/>
              <w:bottom w:w="0" w:type="dxa"/>
            </w:tcMar>
            <w:vAlign w:val="center"/>
          </w:tcPr>
          <w:p w14:paraId="223D361F" w14:textId="77777777" w:rsidR="002426AE" w:rsidRDefault="000917D2">
            <w:pPr>
              <w:keepNext/>
              <w:keepLines/>
              <w:spacing w:after="0" w:line="240" w:lineRule="auto"/>
              <w:jc w:val="right"/>
            </w:pPr>
            <w:r>
              <w:rPr>
                <w:b/>
                <w:sz w:val="18"/>
              </w:rPr>
              <w:t>11.477,97</w:t>
            </w:r>
          </w:p>
        </w:tc>
        <w:tc>
          <w:tcPr>
            <w:tcW w:w="1860" w:type="dxa"/>
            <w:tcMar>
              <w:top w:w="0" w:type="dxa"/>
              <w:bottom w:w="0" w:type="dxa"/>
            </w:tcMar>
            <w:vAlign w:val="center"/>
          </w:tcPr>
          <w:p w14:paraId="2151FA09" w14:textId="77777777" w:rsidR="002426AE" w:rsidRDefault="000917D2">
            <w:pPr>
              <w:keepNext/>
              <w:keepLines/>
              <w:spacing w:after="0" w:line="240" w:lineRule="auto"/>
              <w:jc w:val="right"/>
            </w:pPr>
            <w:r>
              <w:rPr>
                <w:b/>
                <w:sz w:val="18"/>
              </w:rPr>
              <w:t>17.406,06</w:t>
            </w:r>
          </w:p>
        </w:tc>
        <w:tc>
          <w:tcPr>
            <w:tcW w:w="700" w:type="dxa"/>
            <w:tcMar>
              <w:top w:w="0" w:type="dxa"/>
              <w:bottom w:w="0" w:type="dxa"/>
            </w:tcMar>
            <w:vAlign w:val="center"/>
          </w:tcPr>
          <w:p w14:paraId="60F1FCA4" w14:textId="77777777" w:rsidR="002426AE" w:rsidRDefault="000917D2">
            <w:pPr>
              <w:keepNext/>
              <w:keepLines/>
              <w:spacing w:after="0" w:line="240" w:lineRule="auto"/>
              <w:jc w:val="right"/>
            </w:pPr>
            <w:r>
              <w:rPr>
                <w:b/>
                <w:sz w:val="18"/>
              </w:rPr>
              <w:t>151,6</w:t>
            </w:r>
          </w:p>
        </w:tc>
      </w:tr>
      <w:tr w:rsidR="002426AE" w14:paraId="044A2BF5" w14:textId="77777777">
        <w:tblPrEx>
          <w:tblCellMar>
            <w:top w:w="0" w:type="dxa"/>
            <w:bottom w:w="0" w:type="dxa"/>
          </w:tblCellMar>
        </w:tblPrEx>
        <w:trPr>
          <w:cantSplit/>
          <w:trHeight w:val="560"/>
        </w:trPr>
        <w:tc>
          <w:tcPr>
            <w:tcW w:w="700" w:type="dxa"/>
            <w:tcMar>
              <w:top w:w="0" w:type="dxa"/>
              <w:bottom w:w="0" w:type="dxa"/>
            </w:tcMar>
            <w:vAlign w:val="center"/>
          </w:tcPr>
          <w:p w14:paraId="506F7E36" w14:textId="77777777" w:rsidR="002426AE" w:rsidRDefault="000917D2">
            <w:pPr>
              <w:keepNext/>
              <w:keepLines/>
              <w:spacing w:after="0" w:line="240" w:lineRule="auto"/>
            </w:pPr>
            <w:r>
              <w:rPr>
                <w:sz w:val="18"/>
              </w:rPr>
              <w:t>7</w:t>
            </w:r>
          </w:p>
        </w:tc>
        <w:tc>
          <w:tcPr>
            <w:tcW w:w="3180" w:type="dxa"/>
            <w:tcMar>
              <w:top w:w="0" w:type="dxa"/>
              <w:bottom w:w="0" w:type="dxa"/>
            </w:tcMar>
            <w:vAlign w:val="center"/>
          </w:tcPr>
          <w:p w14:paraId="6049CE3C" w14:textId="77777777" w:rsidR="002426AE" w:rsidRDefault="000917D2">
            <w:pPr>
              <w:keepNext/>
              <w:keepLines/>
              <w:spacing w:after="0" w:line="240" w:lineRule="auto"/>
            </w:pPr>
            <w:r>
              <w:rPr>
                <w:sz w:val="18"/>
              </w:rPr>
              <w:t xml:space="preserve">Prihodi od prodaje </w:t>
            </w:r>
            <w:r>
              <w:rPr>
                <w:sz w:val="18"/>
              </w:rPr>
              <w:t>nefinancijske imovine (šifre 71+72+73+74)</w:t>
            </w:r>
          </w:p>
        </w:tc>
        <w:tc>
          <w:tcPr>
            <w:tcW w:w="700" w:type="dxa"/>
            <w:tcMar>
              <w:top w:w="0" w:type="dxa"/>
              <w:bottom w:w="0" w:type="dxa"/>
            </w:tcMar>
            <w:vAlign w:val="center"/>
          </w:tcPr>
          <w:p w14:paraId="0A79ADDD" w14:textId="77777777" w:rsidR="002426AE" w:rsidRDefault="000917D2">
            <w:pPr>
              <w:keepNext/>
              <w:keepLines/>
              <w:spacing w:after="0" w:line="240" w:lineRule="auto"/>
            </w:pPr>
            <w:r>
              <w:rPr>
                <w:sz w:val="18"/>
              </w:rPr>
              <w:t>7</w:t>
            </w:r>
          </w:p>
        </w:tc>
        <w:tc>
          <w:tcPr>
            <w:tcW w:w="1860" w:type="dxa"/>
            <w:tcMar>
              <w:top w:w="0" w:type="dxa"/>
              <w:bottom w:w="0" w:type="dxa"/>
            </w:tcMar>
            <w:vAlign w:val="center"/>
          </w:tcPr>
          <w:p w14:paraId="790FB77F" w14:textId="77777777" w:rsidR="002426AE" w:rsidRDefault="000917D2">
            <w:pPr>
              <w:keepNext/>
              <w:keepLines/>
              <w:spacing w:after="0" w:line="240" w:lineRule="auto"/>
              <w:jc w:val="right"/>
            </w:pPr>
            <w:r>
              <w:rPr>
                <w:sz w:val="18"/>
              </w:rPr>
              <w:t>0,00</w:t>
            </w:r>
          </w:p>
        </w:tc>
        <w:tc>
          <w:tcPr>
            <w:tcW w:w="1860" w:type="dxa"/>
            <w:tcMar>
              <w:top w:w="0" w:type="dxa"/>
              <w:bottom w:w="0" w:type="dxa"/>
            </w:tcMar>
            <w:vAlign w:val="center"/>
          </w:tcPr>
          <w:p w14:paraId="6AFF7686" w14:textId="77777777" w:rsidR="002426AE" w:rsidRDefault="000917D2">
            <w:pPr>
              <w:keepNext/>
              <w:keepLines/>
              <w:spacing w:after="0" w:line="240" w:lineRule="auto"/>
              <w:jc w:val="right"/>
            </w:pPr>
            <w:r>
              <w:rPr>
                <w:sz w:val="18"/>
              </w:rPr>
              <w:t>0,00</w:t>
            </w:r>
          </w:p>
        </w:tc>
        <w:tc>
          <w:tcPr>
            <w:tcW w:w="700" w:type="dxa"/>
            <w:tcMar>
              <w:top w:w="0" w:type="dxa"/>
              <w:bottom w:w="0" w:type="dxa"/>
            </w:tcMar>
            <w:vAlign w:val="center"/>
          </w:tcPr>
          <w:p w14:paraId="6572E864" w14:textId="77777777" w:rsidR="002426AE" w:rsidRDefault="000917D2">
            <w:pPr>
              <w:keepNext/>
              <w:keepLines/>
              <w:spacing w:after="0" w:line="240" w:lineRule="auto"/>
              <w:jc w:val="right"/>
            </w:pPr>
            <w:r>
              <w:rPr>
                <w:sz w:val="18"/>
              </w:rPr>
              <w:t>-</w:t>
            </w:r>
          </w:p>
        </w:tc>
      </w:tr>
      <w:tr w:rsidR="002426AE" w14:paraId="7F1835C8" w14:textId="77777777">
        <w:tblPrEx>
          <w:tblCellMar>
            <w:top w:w="0" w:type="dxa"/>
            <w:bottom w:w="0" w:type="dxa"/>
          </w:tblCellMar>
        </w:tblPrEx>
        <w:trPr>
          <w:cantSplit/>
          <w:trHeight w:val="560"/>
        </w:trPr>
        <w:tc>
          <w:tcPr>
            <w:tcW w:w="700" w:type="dxa"/>
            <w:tcMar>
              <w:top w:w="0" w:type="dxa"/>
              <w:bottom w:w="0" w:type="dxa"/>
            </w:tcMar>
            <w:vAlign w:val="center"/>
          </w:tcPr>
          <w:p w14:paraId="2C851180" w14:textId="77777777" w:rsidR="002426AE" w:rsidRDefault="000917D2">
            <w:pPr>
              <w:keepNext/>
              <w:keepLines/>
              <w:spacing w:after="0" w:line="240" w:lineRule="auto"/>
            </w:pPr>
            <w:r>
              <w:rPr>
                <w:sz w:val="18"/>
              </w:rPr>
              <w:t>4</w:t>
            </w:r>
          </w:p>
        </w:tc>
        <w:tc>
          <w:tcPr>
            <w:tcW w:w="3180" w:type="dxa"/>
            <w:tcMar>
              <w:top w:w="0" w:type="dxa"/>
              <w:bottom w:w="0" w:type="dxa"/>
            </w:tcMar>
            <w:vAlign w:val="center"/>
          </w:tcPr>
          <w:p w14:paraId="07FD1785" w14:textId="77777777" w:rsidR="002426AE" w:rsidRDefault="000917D2">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137C0FC1" w14:textId="77777777" w:rsidR="002426AE" w:rsidRDefault="000917D2">
            <w:pPr>
              <w:keepNext/>
              <w:keepLines/>
              <w:spacing w:after="0" w:line="240" w:lineRule="auto"/>
            </w:pPr>
            <w:r>
              <w:rPr>
                <w:sz w:val="18"/>
              </w:rPr>
              <w:t>4</w:t>
            </w:r>
          </w:p>
        </w:tc>
        <w:tc>
          <w:tcPr>
            <w:tcW w:w="1860" w:type="dxa"/>
            <w:tcMar>
              <w:top w:w="0" w:type="dxa"/>
              <w:bottom w:w="0" w:type="dxa"/>
            </w:tcMar>
            <w:vAlign w:val="center"/>
          </w:tcPr>
          <w:p w14:paraId="197508B3" w14:textId="77777777" w:rsidR="002426AE" w:rsidRDefault="000917D2">
            <w:pPr>
              <w:keepNext/>
              <w:keepLines/>
              <w:spacing w:after="0" w:line="240" w:lineRule="auto"/>
              <w:jc w:val="right"/>
            </w:pPr>
            <w:r>
              <w:rPr>
                <w:sz w:val="18"/>
              </w:rPr>
              <w:t>8.133,25</w:t>
            </w:r>
          </w:p>
        </w:tc>
        <w:tc>
          <w:tcPr>
            <w:tcW w:w="1860" w:type="dxa"/>
            <w:tcMar>
              <w:top w:w="0" w:type="dxa"/>
              <w:bottom w:w="0" w:type="dxa"/>
            </w:tcMar>
            <w:vAlign w:val="center"/>
          </w:tcPr>
          <w:p w14:paraId="39DB8D99" w14:textId="77777777" w:rsidR="002426AE" w:rsidRDefault="000917D2">
            <w:pPr>
              <w:keepNext/>
              <w:keepLines/>
              <w:spacing w:after="0" w:line="240" w:lineRule="auto"/>
              <w:jc w:val="right"/>
            </w:pPr>
            <w:r>
              <w:rPr>
                <w:sz w:val="18"/>
              </w:rPr>
              <w:t>67.770,99</w:t>
            </w:r>
          </w:p>
        </w:tc>
        <w:tc>
          <w:tcPr>
            <w:tcW w:w="700" w:type="dxa"/>
            <w:tcMar>
              <w:top w:w="0" w:type="dxa"/>
              <w:bottom w:w="0" w:type="dxa"/>
            </w:tcMar>
            <w:vAlign w:val="center"/>
          </w:tcPr>
          <w:p w14:paraId="36D406DE" w14:textId="77777777" w:rsidR="002426AE" w:rsidRDefault="000917D2">
            <w:pPr>
              <w:keepNext/>
              <w:keepLines/>
              <w:spacing w:after="0" w:line="240" w:lineRule="auto"/>
              <w:jc w:val="right"/>
            </w:pPr>
            <w:r>
              <w:rPr>
                <w:sz w:val="18"/>
              </w:rPr>
              <w:t>833,3</w:t>
            </w:r>
          </w:p>
        </w:tc>
      </w:tr>
      <w:tr w:rsidR="002426AE" w14:paraId="7AE19DF0" w14:textId="77777777">
        <w:tblPrEx>
          <w:tblCellMar>
            <w:top w:w="0" w:type="dxa"/>
            <w:bottom w:w="0" w:type="dxa"/>
          </w:tblCellMar>
        </w:tblPrEx>
        <w:trPr>
          <w:cantSplit/>
          <w:trHeight w:val="560"/>
        </w:trPr>
        <w:tc>
          <w:tcPr>
            <w:tcW w:w="700" w:type="dxa"/>
            <w:tcMar>
              <w:top w:w="0" w:type="dxa"/>
              <w:bottom w:w="0" w:type="dxa"/>
            </w:tcMar>
            <w:vAlign w:val="center"/>
          </w:tcPr>
          <w:p w14:paraId="5ED43044" w14:textId="77777777" w:rsidR="002426AE" w:rsidRDefault="002426AE">
            <w:pPr>
              <w:keepNext/>
              <w:keepLines/>
              <w:spacing w:after="0" w:line="240" w:lineRule="auto"/>
            </w:pPr>
          </w:p>
        </w:tc>
        <w:tc>
          <w:tcPr>
            <w:tcW w:w="3180" w:type="dxa"/>
            <w:tcMar>
              <w:top w:w="0" w:type="dxa"/>
              <w:bottom w:w="0" w:type="dxa"/>
            </w:tcMar>
            <w:vAlign w:val="center"/>
          </w:tcPr>
          <w:p w14:paraId="0D4C8F3A" w14:textId="77777777" w:rsidR="002426AE" w:rsidRDefault="000917D2">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4D1F5479" w14:textId="77777777" w:rsidR="002426AE" w:rsidRDefault="000917D2">
            <w:pPr>
              <w:keepNext/>
              <w:keepLines/>
              <w:spacing w:after="0" w:line="240" w:lineRule="auto"/>
            </w:pPr>
            <w:r>
              <w:rPr>
                <w:b/>
                <w:sz w:val="18"/>
              </w:rPr>
              <w:t>Y002</w:t>
            </w:r>
          </w:p>
        </w:tc>
        <w:tc>
          <w:tcPr>
            <w:tcW w:w="1860" w:type="dxa"/>
            <w:tcMar>
              <w:top w:w="0" w:type="dxa"/>
              <w:bottom w:w="0" w:type="dxa"/>
            </w:tcMar>
            <w:vAlign w:val="center"/>
          </w:tcPr>
          <w:p w14:paraId="45F88CD5" w14:textId="77777777" w:rsidR="002426AE" w:rsidRDefault="000917D2">
            <w:pPr>
              <w:keepNext/>
              <w:keepLines/>
              <w:spacing w:after="0" w:line="240" w:lineRule="auto"/>
              <w:jc w:val="right"/>
            </w:pPr>
            <w:r>
              <w:rPr>
                <w:b/>
                <w:sz w:val="18"/>
              </w:rPr>
              <w:t>8.133,25</w:t>
            </w:r>
          </w:p>
        </w:tc>
        <w:tc>
          <w:tcPr>
            <w:tcW w:w="1860" w:type="dxa"/>
            <w:tcMar>
              <w:top w:w="0" w:type="dxa"/>
              <w:bottom w:w="0" w:type="dxa"/>
            </w:tcMar>
            <w:vAlign w:val="center"/>
          </w:tcPr>
          <w:p w14:paraId="6B3FB047" w14:textId="77777777" w:rsidR="002426AE" w:rsidRDefault="000917D2">
            <w:pPr>
              <w:keepNext/>
              <w:keepLines/>
              <w:spacing w:after="0" w:line="240" w:lineRule="auto"/>
              <w:jc w:val="right"/>
            </w:pPr>
            <w:r>
              <w:rPr>
                <w:b/>
                <w:sz w:val="18"/>
              </w:rPr>
              <w:t>67.770,99</w:t>
            </w:r>
          </w:p>
        </w:tc>
        <w:tc>
          <w:tcPr>
            <w:tcW w:w="700" w:type="dxa"/>
            <w:tcMar>
              <w:top w:w="0" w:type="dxa"/>
              <w:bottom w:w="0" w:type="dxa"/>
            </w:tcMar>
            <w:vAlign w:val="center"/>
          </w:tcPr>
          <w:p w14:paraId="055A7906" w14:textId="77777777" w:rsidR="002426AE" w:rsidRDefault="000917D2">
            <w:pPr>
              <w:keepNext/>
              <w:keepLines/>
              <w:spacing w:after="0" w:line="240" w:lineRule="auto"/>
              <w:jc w:val="right"/>
            </w:pPr>
            <w:r>
              <w:rPr>
                <w:b/>
                <w:sz w:val="18"/>
              </w:rPr>
              <w:t>833,3</w:t>
            </w:r>
          </w:p>
        </w:tc>
      </w:tr>
      <w:tr w:rsidR="002426AE" w14:paraId="2D59ABB8" w14:textId="77777777">
        <w:tblPrEx>
          <w:tblCellMar>
            <w:top w:w="0" w:type="dxa"/>
            <w:bottom w:w="0" w:type="dxa"/>
          </w:tblCellMar>
        </w:tblPrEx>
        <w:trPr>
          <w:cantSplit/>
          <w:trHeight w:val="560"/>
        </w:trPr>
        <w:tc>
          <w:tcPr>
            <w:tcW w:w="700" w:type="dxa"/>
            <w:tcMar>
              <w:top w:w="0" w:type="dxa"/>
              <w:bottom w:w="0" w:type="dxa"/>
            </w:tcMar>
            <w:vAlign w:val="center"/>
          </w:tcPr>
          <w:p w14:paraId="3C74FA52" w14:textId="77777777" w:rsidR="002426AE" w:rsidRDefault="000917D2">
            <w:pPr>
              <w:keepNext/>
              <w:keepLines/>
              <w:spacing w:after="0" w:line="240" w:lineRule="auto"/>
            </w:pPr>
            <w:r>
              <w:rPr>
                <w:sz w:val="18"/>
              </w:rPr>
              <w:t>8</w:t>
            </w:r>
          </w:p>
        </w:tc>
        <w:tc>
          <w:tcPr>
            <w:tcW w:w="3180" w:type="dxa"/>
            <w:tcMar>
              <w:top w:w="0" w:type="dxa"/>
              <w:bottom w:w="0" w:type="dxa"/>
            </w:tcMar>
            <w:vAlign w:val="center"/>
          </w:tcPr>
          <w:p w14:paraId="6EB3F89F" w14:textId="77777777" w:rsidR="002426AE" w:rsidRDefault="000917D2">
            <w:pPr>
              <w:keepNext/>
              <w:keepLines/>
              <w:spacing w:after="0" w:line="240" w:lineRule="auto"/>
            </w:pPr>
            <w:r>
              <w:rPr>
                <w:sz w:val="18"/>
              </w:rPr>
              <w:t xml:space="preserve">Primici od </w:t>
            </w:r>
            <w:r>
              <w:rPr>
                <w:sz w:val="18"/>
              </w:rPr>
              <w:t>financijske imovine i zaduživanja (šifre 81+82+83+84+85)</w:t>
            </w:r>
          </w:p>
        </w:tc>
        <w:tc>
          <w:tcPr>
            <w:tcW w:w="700" w:type="dxa"/>
            <w:tcMar>
              <w:top w:w="0" w:type="dxa"/>
              <w:bottom w:w="0" w:type="dxa"/>
            </w:tcMar>
            <w:vAlign w:val="center"/>
          </w:tcPr>
          <w:p w14:paraId="0955EDFE" w14:textId="77777777" w:rsidR="002426AE" w:rsidRDefault="000917D2">
            <w:pPr>
              <w:keepNext/>
              <w:keepLines/>
              <w:spacing w:after="0" w:line="240" w:lineRule="auto"/>
            </w:pPr>
            <w:r>
              <w:rPr>
                <w:sz w:val="18"/>
              </w:rPr>
              <w:t>8</w:t>
            </w:r>
          </w:p>
        </w:tc>
        <w:tc>
          <w:tcPr>
            <w:tcW w:w="1860" w:type="dxa"/>
            <w:tcMar>
              <w:top w:w="0" w:type="dxa"/>
              <w:bottom w:w="0" w:type="dxa"/>
            </w:tcMar>
            <w:vAlign w:val="center"/>
          </w:tcPr>
          <w:p w14:paraId="4097D110" w14:textId="77777777" w:rsidR="002426AE" w:rsidRDefault="000917D2">
            <w:pPr>
              <w:keepNext/>
              <w:keepLines/>
              <w:spacing w:after="0" w:line="240" w:lineRule="auto"/>
              <w:jc w:val="right"/>
            </w:pPr>
            <w:r>
              <w:rPr>
                <w:sz w:val="18"/>
              </w:rPr>
              <w:t>0,00</w:t>
            </w:r>
          </w:p>
        </w:tc>
        <w:tc>
          <w:tcPr>
            <w:tcW w:w="1860" w:type="dxa"/>
            <w:tcMar>
              <w:top w:w="0" w:type="dxa"/>
              <w:bottom w:w="0" w:type="dxa"/>
            </w:tcMar>
            <w:vAlign w:val="center"/>
          </w:tcPr>
          <w:p w14:paraId="1B3C1799" w14:textId="77777777" w:rsidR="002426AE" w:rsidRDefault="000917D2">
            <w:pPr>
              <w:keepNext/>
              <w:keepLines/>
              <w:spacing w:after="0" w:line="240" w:lineRule="auto"/>
              <w:jc w:val="right"/>
            </w:pPr>
            <w:r>
              <w:rPr>
                <w:sz w:val="18"/>
              </w:rPr>
              <w:t>0,00</w:t>
            </w:r>
          </w:p>
        </w:tc>
        <w:tc>
          <w:tcPr>
            <w:tcW w:w="700" w:type="dxa"/>
            <w:tcMar>
              <w:top w:w="0" w:type="dxa"/>
              <w:bottom w:w="0" w:type="dxa"/>
            </w:tcMar>
            <w:vAlign w:val="center"/>
          </w:tcPr>
          <w:p w14:paraId="6B6218AE" w14:textId="77777777" w:rsidR="002426AE" w:rsidRDefault="000917D2">
            <w:pPr>
              <w:keepNext/>
              <w:keepLines/>
              <w:spacing w:after="0" w:line="240" w:lineRule="auto"/>
              <w:jc w:val="right"/>
            </w:pPr>
            <w:r>
              <w:rPr>
                <w:sz w:val="18"/>
              </w:rPr>
              <w:t>-</w:t>
            </w:r>
          </w:p>
        </w:tc>
      </w:tr>
      <w:tr w:rsidR="002426AE" w14:paraId="702CD8A0" w14:textId="77777777">
        <w:tblPrEx>
          <w:tblCellMar>
            <w:top w:w="0" w:type="dxa"/>
            <w:bottom w:w="0" w:type="dxa"/>
          </w:tblCellMar>
        </w:tblPrEx>
        <w:trPr>
          <w:cantSplit/>
          <w:trHeight w:val="560"/>
        </w:trPr>
        <w:tc>
          <w:tcPr>
            <w:tcW w:w="700" w:type="dxa"/>
            <w:tcMar>
              <w:top w:w="0" w:type="dxa"/>
              <w:bottom w:w="0" w:type="dxa"/>
            </w:tcMar>
            <w:vAlign w:val="center"/>
          </w:tcPr>
          <w:p w14:paraId="641D89E2" w14:textId="77777777" w:rsidR="002426AE" w:rsidRDefault="000917D2">
            <w:pPr>
              <w:keepNext/>
              <w:keepLines/>
              <w:spacing w:after="0" w:line="240" w:lineRule="auto"/>
            </w:pPr>
            <w:r>
              <w:rPr>
                <w:sz w:val="18"/>
              </w:rPr>
              <w:t>5</w:t>
            </w:r>
          </w:p>
        </w:tc>
        <w:tc>
          <w:tcPr>
            <w:tcW w:w="3180" w:type="dxa"/>
            <w:tcMar>
              <w:top w:w="0" w:type="dxa"/>
              <w:bottom w:w="0" w:type="dxa"/>
            </w:tcMar>
            <w:vAlign w:val="center"/>
          </w:tcPr>
          <w:p w14:paraId="5C3F8D59" w14:textId="77777777" w:rsidR="002426AE" w:rsidRDefault="000917D2">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0D1E7EE7" w14:textId="77777777" w:rsidR="002426AE" w:rsidRDefault="000917D2">
            <w:pPr>
              <w:keepNext/>
              <w:keepLines/>
              <w:spacing w:after="0" w:line="240" w:lineRule="auto"/>
            </w:pPr>
            <w:r>
              <w:rPr>
                <w:sz w:val="18"/>
              </w:rPr>
              <w:t>5</w:t>
            </w:r>
          </w:p>
        </w:tc>
        <w:tc>
          <w:tcPr>
            <w:tcW w:w="1860" w:type="dxa"/>
            <w:tcMar>
              <w:top w:w="0" w:type="dxa"/>
              <w:bottom w:w="0" w:type="dxa"/>
            </w:tcMar>
            <w:vAlign w:val="center"/>
          </w:tcPr>
          <w:p w14:paraId="65F72926" w14:textId="77777777" w:rsidR="002426AE" w:rsidRDefault="000917D2">
            <w:pPr>
              <w:keepNext/>
              <w:keepLines/>
              <w:spacing w:after="0" w:line="240" w:lineRule="auto"/>
              <w:jc w:val="right"/>
            </w:pPr>
            <w:r>
              <w:rPr>
                <w:sz w:val="18"/>
              </w:rPr>
              <w:t>0,00</w:t>
            </w:r>
          </w:p>
        </w:tc>
        <w:tc>
          <w:tcPr>
            <w:tcW w:w="1860" w:type="dxa"/>
            <w:tcMar>
              <w:top w:w="0" w:type="dxa"/>
              <w:bottom w:w="0" w:type="dxa"/>
            </w:tcMar>
            <w:vAlign w:val="center"/>
          </w:tcPr>
          <w:p w14:paraId="55F290B6" w14:textId="77777777" w:rsidR="002426AE" w:rsidRDefault="000917D2">
            <w:pPr>
              <w:keepNext/>
              <w:keepLines/>
              <w:spacing w:after="0" w:line="240" w:lineRule="auto"/>
              <w:jc w:val="right"/>
            </w:pPr>
            <w:r>
              <w:rPr>
                <w:sz w:val="18"/>
              </w:rPr>
              <w:t>0,00</w:t>
            </w:r>
          </w:p>
        </w:tc>
        <w:tc>
          <w:tcPr>
            <w:tcW w:w="700" w:type="dxa"/>
            <w:tcMar>
              <w:top w:w="0" w:type="dxa"/>
              <w:bottom w:w="0" w:type="dxa"/>
            </w:tcMar>
            <w:vAlign w:val="center"/>
          </w:tcPr>
          <w:p w14:paraId="55A68443" w14:textId="77777777" w:rsidR="002426AE" w:rsidRDefault="000917D2">
            <w:pPr>
              <w:keepNext/>
              <w:keepLines/>
              <w:spacing w:after="0" w:line="240" w:lineRule="auto"/>
              <w:jc w:val="right"/>
            </w:pPr>
            <w:r>
              <w:rPr>
                <w:sz w:val="18"/>
              </w:rPr>
              <w:t>-</w:t>
            </w:r>
          </w:p>
        </w:tc>
      </w:tr>
      <w:tr w:rsidR="002426AE" w14:paraId="09F8929D" w14:textId="77777777">
        <w:tblPrEx>
          <w:tblCellMar>
            <w:top w:w="0" w:type="dxa"/>
            <w:bottom w:w="0" w:type="dxa"/>
          </w:tblCellMar>
        </w:tblPrEx>
        <w:trPr>
          <w:cantSplit/>
          <w:trHeight w:val="560"/>
        </w:trPr>
        <w:tc>
          <w:tcPr>
            <w:tcW w:w="700" w:type="dxa"/>
            <w:tcMar>
              <w:top w:w="0" w:type="dxa"/>
              <w:bottom w:w="0" w:type="dxa"/>
            </w:tcMar>
            <w:vAlign w:val="center"/>
          </w:tcPr>
          <w:p w14:paraId="037F6D9C" w14:textId="77777777" w:rsidR="002426AE" w:rsidRDefault="002426AE">
            <w:pPr>
              <w:keepNext/>
              <w:keepLines/>
              <w:spacing w:after="0" w:line="240" w:lineRule="auto"/>
            </w:pPr>
          </w:p>
        </w:tc>
        <w:tc>
          <w:tcPr>
            <w:tcW w:w="3180" w:type="dxa"/>
            <w:tcMar>
              <w:top w:w="0" w:type="dxa"/>
              <w:bottom w:w="0" w:type="dxa"/>
            </w:tcMar>
            <w:vAlign w:val="center"/>
          </w:tcPr>
          <w:p w14:paraId="4A9CBA56" w14:textId="77777777" w:rsidR="002426AE" w:rsidRDefault="000917D2">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79A545B6" w14:textId="77777777" w:rsidR="002426AE" w:rsidRDefault="000917D2">
            <w:pPr>
              <w:keepNext/>
              <w:keepLines/>
              <w:spacing w:after="0" w:line="240" w:lineRule="auto"/>
            </w:pPr>
            <w:r>
              <w:rPr>
                <w:b/>
                <w:sz w:val="18"/>
              </w:rPr>
              <w:t>X003, Y003</w:t>
            </w:r>
          </w:p>
        </w:tc>
        <w:tc>
          <w:tcPr>
            <w:tcW w:w="1860" w:type="dxa"/>
            <w:tcMar>
              <w:top w:w="0" w:type="dxa"/>
              <w:bottom w:w="0" w:type="dxa"/>
            </w:tcMar>
            <w:vAlign w:val="center"/>
          </w:tcPr>
          <w:p w14:paraId="54705A77" w14:textId="77777777" w:rsidR="002426AE" w:rsidRDefault="000917D2">
            <w:pPr>
              <w:keepNext/>
              <w:keepLines/>
              <w:spacing w:after="0" w:line="240" w:lineRule="auto"/>
              <w:jc w:val="right"/>
            </w:pPr>
            <w:r>
              <w:rPr>
                <w:b/>
                <w:sz w:val="18"/>
              </w:rPr>
              <w:t>0,00</w:t>
            </w:r>
          </w:p>
        </w:tc>
        <w:tc>
          <w:tcPr>
            <w:tcW w:w="1860" w:type="dxa"/>
            <w:tcMar>
              <w:top w:w="0" w:type="dxa"/>
              <w:bottom w:w="0" w:type="dxa"/>
            </w:tcMar>
            <w:vAlign w:val="center"/>
          </w:tcPr>
          <w:p w14:paraId="754B711A" w14:textId="77777777" w:rsidR="002426AE" w:rsidRDefault="000917D2">
            <w:pPr>
              <w:keepNext/>
              <w:keepLines/>
              <w:spacing w:after="0" w:line="240" w:lineRule="auto"/>
              <w:jc w:val="right"/>
            </w:pPr>
            <w:r>
              <w:rPr>
                <w:b/>
                <w:sz w:val="18"/>
              </w:rPr>
              <w:t>0,00</w:t>
            </w:r>
          </w:p>
        </w:tc>
        <w:tc>
          <w:tcPr>
            <w:tcW w:w="700" w:type="dxa"/>
            <w:tcMar>
              <w:top w:w="0" w:type="dxa"/>
              <w:bottom w:w="0" w:type="dxa"/>
            </w:tcMar>
            <w:vAlign w:val="center"/>
          </w:tcPr>
          <w:p w14:paraId="6A3EE588" w14:textId="77777777" w:rsidR="002426AE" w:rsidRDefault="000917D2">
            <w:pPr>
              <w:keepNext/>
              <w:keepLines/>
              <w:spacing w:after="0" w:line="240" w:lineRule="auto"/>
              <w:jc w:val="right"/>
            </w:pPr>
            <w:r>
              <w:rPr>
                <w:b/>
                <w:sz w:val="18"/>
              </w:rPr>
              <w:t>-</w:t>
            </w:r>
          </w:p>
        </w:tc>
      </w:tr>
      <w:tr w:rsidR="002426AE" w14:paraId="2A925834" w14:textId="77777777">
        <w:tblPrEx>
          <w:tblCellMar>
            <w:top w:w="0" w:type="dxa"/>
            <w:bottom w:w="0" w:type="dxa"/>
          </w:tblCellMar>
        </w:tblPrEx>
        <w:trPr>
          <w:cantSplit/>
          <w:trHeight w:val="560"/>
        </w:trPr>
        <w:tc>
          <w:tcPr>
            <w:tcW w:w="700" w:type="dxa"/>
            <w:tcMar>
              <w:top w:w="0" w:type="dxa"/>
              <w:bottom w:w="0" w:type="dxa"/>
            </w:tcMar>
            <w:vAlign w:val="center"/>
          </w:tcPr>
          <w:p w14:paraId="201D3C59" w14:textId="77777777" w:rsidR="002426AE" w:rsidRDefault="002426AE">
            <w:pPr>
              <w:keepNext/>
              <w:keepLines/>
              <w:spacing w:after="0" w:line="240" w:lineRule="auto"/>
            </w:pPr>
          </w:p>
        </w:tc>
        <w:tc>
          <w:tcPr>
            <w:tcW w:w="3180" w:type="dxa"/>
            <w:tcMar>
              <w:top w:w="0" w:type="dxa"/>
              <w:bottom w:w="0" w:type="dxa"/>
            </w:tcMar>
            <w:vAlign w:val="center"/>
          </w:tcPr>
          <w:p w14:paraId="1CA0D55C" w14:textId="77777777" w:rsidR="002426AE" w:rsidRDefault="000917D2">
            <w:pPr>
              <w:keepNext/>
              <w:keepLines/>
              <w:spacing w:after="0" w:line="240" w:lineRule="auto"/>
            </w:pPr>
            <w:r>
              <w:rPr>
                <w:b/>
                <w:sz w:val="18"/>
              </w:rPr>
              <w:t>MANJAK PRIHODA I PRIMITAKA (šifre Y345-X678)</w:t>
            </w:r>
          </w:p>
        </w:tc>
        <w:tc>
          <w:tcPr>
            <w:tcW w:w="700" w:type="dxa"/>
            <w:tcMar>
              <w:top w:w="0" w:type="dxa"/>
              <w:bottom w:w="0" w:type="dxa"/>
            </w:tcMar>
            <w:vAlign w:val="center"/>
          </w:tcPr>
          <w:p w14:paraId="6125F8A5" w14:textId="77777777" w:rsidR="002426AE" w:rsidRDefault="000917D2">
            <w:pPr>
              <w:keepNext/>
              <w:keepLines/>
              <w:spacing w:after="0" w:line="240" w:lineRule="auto"/>
            </w:pPr>
            <w:r>
              <w:rPr>
                <w:b/>
                <w:sz w:val="18"/>
              </w:rPr>
              <w:t>Y005</w:t>
            </w:r>
          </w:p>
        </w:tc>
        <w:tc>
          <w:tcPr>
            <w:tcW w:w="1860" w:type="dxa"/>
            <w:tcMar>
              <w:top w:w="0" w:type="dxa"/>
              <w:bottom w:w="0" w:type="dxa"/>
            </w:tcMar>
            <w:vAlign w:val="center"/>
          </w:tcPr>
          <w:p w14:paraId="08C0C410" w14:textId="77777777" w:rsidR="002426AE" w:rsidRDefault="000917D2">
            <w:pPr>
              <w:keepNext/>
              <w:keepLines/>
              <w:spacing w:after="0" w:line="240" w:lineRule="auto"/>
              <w:jc w:val="right"/>
            </w:pPr>
            <w:r>
              <w:rPr>
                <w:b/>
                <w:sz w:val="18"/>
              </w:rPr>
              <w:t>0,00</w:t>
            </w:r>
          </w:p>
        </w:tc>
        <w:tc>
          <w:tcPr>
            <w:tcW w:w="1860" w:type="dxa"/>
            <w:tcMar>
              <w:top w:w="0" w:type="dxa"/>
              <w:bottom w:w="0" w:type="dxa"/>
            </w:tcMar>
            <w:vAlign w:val="center"/>
          </w:tcPr>
          <w:p w14:paraId="662E3F6D" w14:textId="77777777" w:rsidR="002426AE" w:rsidRDefault="000917D2">
            <w:pPr>
              <w:keepNext/>
              <w:keepLines/>
              <w:spacing w:after="0" w:line="240" w:lineRule="auto"/>
              <w:jc w:val="right"/>
            </w:pPr>
            <w:r>
              <w:rPr>
                <w:b/>
                <w:sz w:val="18"/>
              </w:rPr>
              <w:t>50.364,93</w:t>
            </w:r>
          </w:p>
        </w:tc>
        <w:tc>
          <w:tcPr>
            <w:tcW w:w="700" w:type="dxa"/>
            <w:tcMar>
              <w:top w:w="0" w:type="dxa"/>
              <w:bottom w:w="0" w:type="dxa"/>
            </w:tcMar>
            <w:vAlign w:val="center"/>
          </w:tcPr>
          <w:p w14:paraId="1744197C" w14:textId="77777777" w:rsidR="002426AE" w:rsidRDefault="000917D2">
            <w:pPr>
              <w:keepNext/>
              <w:keepLines/>
              <w:spacing w:after="0" w:line="240" w:lineRule="auto"/>
              <w:jc w:val="right"/>
            </w:pPr>
            <w:r>
              <w:rPr>
                <w:b/>
                <w:sz w:val="18"/>
              </w:rPr>
              <w:t>-</w:t>
            </w:r>
          </w:p>
        </w:tc>
      </w:tr>
    </w:tbl>
    <w:p w14:paraId="4B4E9889" w14:textId="77777777" w:rsidR="002426AE" w:rsidRDefault="002426AE">
      <w:pPr>
        <w:spacing w:after="0"/>
      </w:pPr>
    </w:p>
    <w:p w14:paraId="213E8ADA" w14:textId="77777777" w:rsidR="002426AE" w:rsidRDefault="000917D2">
      <w:r>
        <w:t>U razdoblju od 01. siječnja do 31. prosinca 2025. godine, prihodi poslovanja ostvareni su u iznosu od 810.538,25 EUR. U odnosu na isto razdoblje prošle godine, najznačajnije povećanje prihoda poslovanja ostvareno je od tekućih pomoći proračunskim korisnici</w:t>
      </w:r>
      <w:r>
        <w:t>ma iz proračuna koji im nije nadležan, a najveći razlog za porast tih prihoda je povećanje plaća i ostalih materijalnih rashoda za zaposlene. Rashodi poslovanja od 01. siječnja do 31. prosinca 2025. ostvareni su u iznosu od 793.132,19 EUR. U odnosu na isto</w:t>
      </w:r>
      <w:r>
        <w:t xml:space="preserve"> razdoblje prošle godine, najznačajnije povećanje rashoda evidentirano je na rashodima za zaposlene uslijed povećanja </w:t>
      </w:r>
      <w:r>
        <w:lastRenderedPageBreak/>
        <w:t>plaća i na materijalnim rashodima. U navedenom razdoblju nema ostvarenih prihoda od prodaje nefinancijske imovine, dok su rashodi za nabav</w:t>
      </w:r>
      <w:r>
        <w:t>u nefinancijske imovine ostvareni u iznosu od 67.770,99 EUR. Navedeni rashodi u iznosu od 4.395,63 EUR odnose se na nabavu udžbenika za školsku godinu 2025./2026., dio rashoda u iznosu od 2.597,58 EUR se odnosi na nabavu računalne i uredske opreme dok se n</w:t>
      </w:r>
      <w:r>
        <w:t>ajveći dio odnosi na financiranje usluga projektiranja za nadogradnju kuhinje i školske dvorane te za usluge izrade procjene rizika kućne vodoopskrbe i uslugu izrade energetskog certifikata. U navedenom razdoblju nije bilo ostvarenih primitaka i izdataka o</w:t>
      </w:r>
      <w:r>
        <w:t>d financijske imovine i zaduživanja. U razdoblju od 01. siječnja do 31. prosinca 2025. ostvaren je višak prihoda poslovanja u iznosu od 17.406,06 EUR, manjak prihoda od nefinancijske imovine u iznosu od 67.770,99 EUR, slijedom čega je na kraju izvještajnog</w:t>
      </w:r>
      <w:r>
        <w:t xml:space="preserve"> razdoblja ostvaren ukupan manjak prihoda i primitaka u iznosu od 50.364,93 EUR.</w:t>
      </w:r>
    </w:p>
    <w:p w14:paraId="776180D1" w14:textId="77777777" w:rsidR="002426AE" w:rsidRDefault="000917D2">
      <w:r>
        <w:br/>
      </w:r>
    </w:p>
    <w:p w14:paraId="7297D7E5" w14:textId="77777777" w:rsidR="002426AE" w:rsidRDefault="000917D2">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426AE" w14:paraId="56727F9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64263B4" w14:textId="77777777" w:rsidR="002426AE" w:rsidRDefault="000917D2">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BF7BF70" w14:textId="77777777" w:rsidR="002426AE" w:rsidRDefault="000917D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A781DBA" w14:textId="77777777" w:rsidR="002426AE" w:rsidRDefault="000917D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D195418" w14:textId="77777777" w:rsidR="002426AE" w:rsidRDefault="000917D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FBBE94B" w14:textId="77777777" w:rsidR="002426AE" w:rsidRDefault="000917D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6F1D484" w14:textId="77777777" w:rsidR="002426AE" w:rsidRDefault="000917D2">
            <w:pPr>
              <w:keepNext/>
              <w:keepLines/>
              <w:spacing w:after="0" w:line="240" w:lineRule="auto"/>
              <w:jc w:val="center"/>
            </w:pPr>
            <w:r>
              <w:rPr>
                <w:b/>
                <w:sz w:val="18"/>
              </w:rPr>
              <w:t>Indeks (%)</w:t>
            </w:r>
          </w:p>
        </w:tc>
      </w:tr>
      <w:tr w:rsidR="002426AE" w14:paraId="2A62DC4D" w14:textId="77777777">
        <w:tblPrEx>
          <w:tblCellMar>
            <w:top w:w="0" w:type="dxa"/>
            <w:bottom w:w="0" w:type="dxa"/>
          </w:tblCellMar>
        </w:tblPrEx>
        <w:trPr>
          <w:cantSplit/>
          <w:trHeight w:val="560"/>
        </w:trPr>
        <w:tc>
          <w:tcPr>
            <w:tcW w:w="700" w:type="dxa"/>
            <w:tcMar>
              <w:top w:w="0" w:type="dxa"/>
              <w:bottom w:w="0" w:type="dxa"/>
            </w:tcMar>
            <w:vAlign w:val="center"/>
          </w:tcPr>
          <w:p w14:paraId="01953061" w14:textId="77777777" w:rsidR="002426AE" w:rsidRDefault="000917D2">
            <w:pPr>
              <w:keepNext/>
              <w:keepLines/>
              <w:spacing w:after="0" w:line="240" w:lineRule="auto"/>
            </w:pPr>
            <w:r>
              <w:rPr>
                <w:sz w:val="18"/>
              </w:rPr>
              <w:t>6362</w:t>
            </w:r>
          </w:p>
        </w:tc>
        <w:tc>
          <w:tcPr>
            <w:tcW w:w="3180" w:type="dxa"/>
            <w:tcMar>
              <w:top w:w="0" w:type="dxa"/>
              <w:bottom w:w="0" w:type="dxa"/>
            </w:tcMar>
            <w:vAlign w:val="center"/>
          </w:tcPr>
          <w:p w14:paraId="536DA405" w14:textId="77777777" w:rsidR="002426AE" w:rsidRDefault="000917D2">
            <w:pPr>
              <w:keepNext/>
              <w:keepLines/>
              <w:spacing w:after="0" w:line="240" w:lineRule="auto"/>
            </w:pPr>
            <w:r>
              <w:rPr>
                <w:sz w:val="18"/>
              </w:rPr>
              <w:t>Kapitalne pomoći proračunskim korisnicima iz proračuna koji im nije nadležan</w:t>
            </w:r>
          </w:p>
        </w:tc>
        <w:tc>
          <w:tcPr>
            <w:tcW w:w="700" w:type="dxa"/>
            <w:tcMar>
              <w:top w:w="0" w:type="dxa"/>
              <w:bottom w:w="0" w:type="dxa"/>
            </w:tcMar>
            <w:vAlign w:val="center"/>
          </w:tcPr>
          <w:p w14:paraId="303A4928" w14:textId="77777777" w:rsidR="002426AE" w:rsidRDefault="000917D2">
            <w:pPr>
              <w:keepNext/>
              <w:keepLines/>
              <w:spacing w:after="0" w:line="240" w:lineRule="auto"/>
            </w:pPr>
            <w:r>
              <w:rPr>
                <w:sz w:val="18"/>
              </w:rPr>
              <w:t>6362</w:t>
            </w:r>
          </w:p>
        </w:tc>
        <w:tc>
          <w:tcPr>
            <w:tcW w:w="1860" w:type="dxa"/>
            <w:tcMar>
              <w:top w:w="0" w:type="dxa"/>
              <w:bottom w:w="0" w:type="dxa"/>
            </w:tcMar>
            <w:vAlign w:val="center"/>
          </w:tcPr>
          <w:p w14:paraId="471553B4" w14:textId="77777777" w:rsidR="002426AE" w:rsidRDefault="000917D2">
            <w:pPr>
              <w:keepNext/>
              <w:keepLines/>
              <w:spacing w:after="0" w:line="240" w:lineRule="auto"/>
              <w:jc w:val="right"/>
            </w:pPr>
            <w:r>
              <w:rPr>
                <w:sz w:val="18"/>
              </w:rPr>
              <w:t>310,00</w:t>
            </w:r>
          </w:p>
        </w:tc>
        <w:tc>
          <w:tcPr>
            <w:tcW w:w="1860" w:type="dxa"/>
            <w:tcMar>
              <w:top w:w="0" w:type="dxa"/>
              <w:bottom w:w="0" w:type="dxa"/>
            </w:tcMar>
            <w:vAlign w:val="center"/>
          </w:tcPr>
          <w:p w14:paraId="183907DF" w14:textId="77777777" w:rsidR="002426AE" w:rsidRDefault="000917D2">
            <w:pPr>
              <w:keepNext/>
              <w:keepLines/>
              <w:spacing w:after="0" w:line="240" w:lineRule="auto"/>
              <w:jc w:val="right"/>
            </w:pPr>
            <w:r>
              <w:rPr>
                <w:sz w:val="18"/>
              </w:rPr>
              <w:t>8.363,07</w:t>
            </w:r>
          </w:p>
        </w:tc>
        <w:tc>
          <w:tcPr>
            <w:tcW w:w="700" w:type="dxa"/>
            <w:tcMar>
              <w:top w:w="0" w:type="dxa"/>
              <w:bottom w:w="0" w:type="dxa"/>
            </w:tcMar>
            <w:vAlign w:val="center"/>
          </w:tcPr>
          <w:p w14:paraId="5EEFA391" w14:textId="77777777" w:rsidR="002426AE" w:rsidRDefault="000917D2">
            <w:pPr>
              <w:keepNext/>
              <w:keepLines/>
              <w:spacing w:after="0" w:line="240" w:lineRule="auto"/>
              <w:jc w:val="right"/>
            </w:pPr>
            <w:r>
              <w:rPr>
                <w:sz w:val="18"/>
              </w:rPr>
              <w:t>2697,8</w:t>
            </w:r>
          </w:p>
        </w:tc>
      </w:tr>
    </w:tbl>
    <w:p w14:paraId="2DAA3BA8" w14:textId="77777777" w:rsidR="002426AE" w:rsidRDefault="002426AE">
      <w:pPr>
        <w:spacing w:after="0"/>
      </w:pPr>
    </w:p>
    <w:p w14:paraId="76BF7305" w14:textId="77777777" w:rsidR="002426AE" w:rsidRDefault="000917D2">
      <w:r>
        <w:t>U odnosu na isto razdoblje prošle godine, značajno povećanje kapitalnih pomoći proračunskim korisnicima iz proračuna koji im nije nadležan se odnosi na prihode za nabavu udžbenika za školsku godinu 2025./2026. i prihode za nabavu lektire za osnovne škole.</w:t>
      </w:r>
    </w:p>
    <w:p w14:paraId="29AC829A" w14:textId="77777777" w:rsidR="002426AE" w:rsidRDefault="002426AE"/>
    <w:p w14:paraId="5A1B041E" w14:textId="77777777" w:rsidR="002426AE" w:rsidRDefault="000917D2">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426AE" w14:paraId="23CBFE2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979D940" w14:textId="77777777" w:rsidR="002426AE" w:rsidRDefault="000917D2">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2904ABC" w14:textId="77777777" w:rsidR="002426AE" w:rsidRDefault="000917D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48FEA02" w14:textId="77777777" w:rsidR="002426AE" w:rsidRDefault="000917D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113528" w14:textId="77777777" w:rsidR="002426AE" w:rsidRDefault="000917D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F30FE9F" w14:textId="77777777" w:rsidR="002426AE" w:rsidRDefault="000917D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5A4F15C" w14:textId="77777777" w:rsidR="002426AE" w:rsidRDefault="000917D2">
            <w:pPr>
              <w:keepNext/>
              <w:keepLines/>
              <w:spacing w:after="0" w:line="240" w:lineRule="auto"/>
              <w:jc w:val="center"/>
            </w:pPr>
            <w:r>
              <w:rPr>
                <w:b/>
                <w:sz w:val="18"/>
              </w:rPr>
              <w:t>Indeks (%)</w:t>
            </w:r>
          </w:p>
        </w:tc>
      </w:tr>
      <w:tr w:rsidR="002426AE" w14:paraId="011DEA5A" w14:textId="77777777">
        <w:tblPrEx>
          <w:tblCellMar>
            <w:top w:w="0" w:type="dxa"/>
            <w:bottom w:w="0" w:type="dxa"/>
          </w:tblCellMar>
        </w:tblPrEx>
        <w:trPr>
          <w:cantSplit/>
          <w:trHeight w:val="560"/>
        </w:trPr>
        <w:tc>
          <w:tcPr>
            <w:tcW w:w="700" w:type="dxa"/>
            <w:tcMar>
              <w:top w:w="0" w:type="dxa"/>
              <w:bottom w:w="0" w:type="dxa"/>
            </w:tcMar>
            <w:vAlign w:val="center"/>
          </w:tcPr>
          <w:p w14:paraId="63E14287" w14:textId="77777777" w:rsidR="002426AE" w:rsidRDefault="000917D2">
            <w:pPr>
              <w:keepNext/>
              <w:keepLines/>
              <w:spacing w:after="0" w:line="240" w:lineRule="auto"/>
            </w:pPr>
            <w:r>
              <w:rPr>
                <w:sz w:val="18"/>
              </w:rPr>
              <w:t>6712</w:t>
            </w:r>
          </w:p>
        </w:tc>
        <w:tc>
          <w:tcPr>
            <w:tcW w:w="3180" w:type="dxa"/>
            <w:tcMar>
              <w:top w:w="0" w:type="dxa"/>
              <w:bottom w:w="0" w:type="dxa"/>
            </w:tcMar>
            <w:vAlign w:val="center"/>
          </w:tcPr>
          <w:p w14:paraId="53C22FA0" w14:textId="77777777" w:rsidR="002426AE" w:rsidRDefault="000917D2">
            <w:pPr>
              <w:keepNext/>
              <w:keepLines/>
              <w:spacing w:after="0" w:line="240" w:lineRule="auto"/>
            </w:pPr>
            <w:r>
              <w:rPr>
                <w:sz w:val="18"/>
              </w:rPr>
              <w:t xml:space="preserve">Prihodi iz nadležnog proračuna za financiranje rashoda za nabavu </w:t>
            </w:r>
            <w:r>
              <w:rPr>
                <w:sz w:val="18"/>
              </w:rPr>
              <w:t>nefinancijske imovine</w:t>
            </w:r>
          </w:p>
        </w:tc>
        <w:tc>
          <w:tcPr>
            <w:tcW w:w="700" w:type="dxa"/>
            <w:tcMar>
              <w:top w:w="0" w:type="dxa"/>
              <w:bottom w:w="0" w:type="dxa"/>
            </w:tcMar>
            <w:vAlign w:val="center"/>
          </w:tcPr>
          <w:p w14:paraId="5BA9ED42" w14:textId="77777777" w:rsidR="002426AE" w:rsidRDefault="000917D2">
            <w:pPr>
              <w:keepNext/>
              <w:keepLines/>
              <w:spacing w:after="0" w:line="240" w:lineRule="auto"/>
            </w:pPr>
            <w:r>
              <w:rPr>
                <w:sz w:val="18"/>
              </w:rPr>
              <w:t>6712</w:t>
            </w:r>
          </w:p>
        </w:tc>
        <w:tc>
          <w:tcPr>
            <w:tcW w:w="1860" w:type="dxa"/>
            <w:tcMar>
              <w:top w:w="0" w:type="dxa"/>
              <w:bottom w:w="0" w:type="dxa"/>
            </w:tcMar>
            <w:vAlign w:val="center"/>
          </w:tcPr>
          <w:p w14:paraId="20FFD88B" w14:textId="77777777" w:rsidR="002426AE" w:rsidRDefault="000917D2">
            <w:pPr>
              <w:keepNext/>
              <w:keepLines/>
              <w:spacing w:after="0" w:line="240" w:lineRule="auto"/>
              <w:jc w:val="right"/>
            </w:pPr>
            <w:r>
              <w:rPr>
                <w:sz w:val="18"/>
              </w:rPr>
              <w:t>3.855,81</w:t>
            </w:r>
          </w:p>
        </w:tc>
        <w:tc>
          <w:tcPr>
            <w:tcW w:w="1860" w:type="dxa"/>
            <w:tcMar>
              <w:top w:w="0" w:type="dxa"/>
              <w:bottom w:w="0" w:type="dxa"/>
            </w:tcMar>
            <w:vAlign w:val="center"/>
          </w:tcPr>
          <w:p w14:paraId="1222FEA0" w14:textId="77777777" w:rsidR="002426AE" w:rsidRDefault="000917D2">
            <w:pPr>
              <w:keepNext/>
              <w:keepLines/>
              <w:spacing w:after="0" w:line="240" w:lineRule="auto"/>
              <w:jc w:val="right"/>
            </w:pPr>
            <w:r>
              <w:rPr>
                <w:sz w:val="18"/>
              </w:rPr>
              <w:t>60.797,78</w:t>
            </w:r>
          </w:p>
        </w:tc>
        <w:tc>
          <w:tcPr>
            <w:tcW w:w="700" w:type="dxa"/>
            <w:tcMar>
              <w:top w:w="0" w:type="dxa"/>
              <w:bottom w:w="0" w:type="dxa"/>
            </w:tcMar>
            <w:vAlign w:val="center"/>
          </w:tcPr>
          <w:p w14:paraId="638F0774" w14:textId="77777777" w:rsidR="002426AE" w:rsidRDefault="000917D2">
            <w:pPr>
              <w:keepNext/>
              <w:keepLines/>
              <w:spacing w:after="0" w:line="240" w:lineRule="auto"/>
              <w:jc w:val="right"/>
            </w:pPr>
            <w:r>
              <w:rPr>
                <w:sz w:val="18"/>
              </w:rPr>
              <w:t>1576,8</w:t>
            </w:r>
          </w:p>
        </w:tc>
      </w:tr>
    </w:tbl>
    <w:p w14:paraId="73B41FD0" w14:textId="77777777" w:rsidR="002426AE" w:rsidRDefault="002426AE">
      <w:pPr>
        <w:spacing w:after="0"/>
      </w:pPr>
    </w:p>
    <w:p w14:paraId="60355357" w14:textId="77777777" w:rsidR="002426AE" w:rsidRDefault="000917D2">
      <w:r>
        <w:t>U odnosu na isto razdoblje prošle godine, prihodi iz nadležnog proračuna za financiranje rashoda za nabavu nefinancijske imovine su značajno povećani radi nabave dva računala te najvećim dijelom radi financiranja usluga projektiranja za nadogradnju školske</w:t>
      </w:r>
      <w:r>
        <w:t xml:space="preserve"> kuhinje i izgradnju dvorane.</w:t>
      </w:r>
    </w:p>
    <w:p w14:paraId="78CB21D2" w14:textId="77777777" w:rsidR="002426AE" w:rsidRDefault="002426AE"/>
    <w:p w14:paraId="23DD60BD" w14:textId="77777777" w:rsidR="002426AE" w:rsidRDefault="000917D2">
      <w:pPr>
        <w:keepNext/>
        <w:spacing w:line="240" w:lineRule="auto"/>
        <w:jc w:val="center"/>
      </w:pPr>
      <w:r>
        <w:rPr>
          <w:sz w:val="28"/>
        </w:rPr>
        <w:lastRenderedPageBreak/>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426AE" w14:paraId="5AD1C61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ED4F86A" w14:textId="77777777" w:rsidR="002426AE" w:rsidRDefault="000917D2">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B4AFED5" w14:textId="77777777" w:rsidR="002426AE" w:rsidRDefault="000917D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71F02D4" w14:textId="77777777" w:rsidR="002426AE" w:rsidRDefault="000917D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BBC4381" w14:textId="77777777" w:rsidR="002426AE" w:rsidRDefault="000917D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0766017" w14:textId="77777777" w:rsidR="002426AE" w:rsidRDefault="000917D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8511CFB" w14:textId="77777777" w:rsidR="002426AE" w:rsidRDefault="000917D2">
            <w:pPr>
              <w:keepNext/>
              <w:keepLines/>
              <w:spacing w:after="0" w:line="240" w:lineRule="auto"/>
              <w:jc w:val="center"/>
            </w:pPr>
            <w:r>
              <w:rPr>
                <w:b/>
                <w:sz w:val="18"/>
              </w:rPr>
              <w:t>Indeks (%)</w:t>
            </w:r>
          </w:p>
        </w:tc>
      </w:tr>
      <w:tr w:rsidR="002426AE" w14:paraId="2B2E4711" w14:textId="77777777">
        <w:tblPrEx>
          <w:tblCellMar>
            <w:top w:w="0" w:type="dxa"/>
            <w:bottom w:w="0" w:type="dxa"/>
          </w:tblCellMar>
        </w:tblPrEx>
        <w:trPr>
          <w:cantSplit/>
          <w:trHeight w:val="560"/>
        </w:trPr>
        <w:tc>
          <w:tcPr>
            <w:tcW w:w="700" w:type="dxa"/>
            <w:tcMar>
              <w:top w:w="0" w:type="dxa"/>
              <w:bottom w:w="0" w:type="dxa"/>
            </w:tcMar>
            <w:vAlign w:val="center"/>
          </w:tcPr>
          <w:p w14:paraId="3CA93267" w14:textId="77777777" w:rsidR="002426AE" w:rsidRDefault="000917D2">
            <w:pPr>
              <w:keepNext/>
              <w:keepLines/>
              <w:spacing w:after="0" w:line="240" w:lineRule="auto"/>
            </w:pPr>
            <w:r>
              <w:rPr>
                <w:sz w:val="18"/>
              </w:rPr>
              <w:t>313</w:t>
            </w:r>
          </w:p>
        </w:tc>
        <w:tc>
          <w:tcPr>
            <w:tcW w:w="3180" w:type="dxa"/>
            <w:tcMar>
              <w:top w:w="0" w:type="dxa"/>
              <w:bottom w:w="0" w:type="dxa"/>
            </w:tcMar>
            <w:vAlign w:val="center"/>
          </w:tcPr>
          <w:p w14:paraId="41FF6F49" w14:textId="77777777" w:rsidR="002426AE" w:rsidRDefault="000917D2">
            <w:pPr>
              <w:keepNext/>
              <w:keepLines/>
              <w:spacing w:after="0" w:line="240" w:lineRule="auto"/>
            </w:pPr>
            <w:r>
              <w:rPr>
                <w:sz w:val="18"/>
              </w:rPr>
              <w:t>Doprinosi na plaće (šifre 3131 do 3133)</w:t>
            </w:r>
          </w:p>
        </w:tc>
        <w:tc>
          <w:tcPr>
            <w:tcW w:w="700" w:type="dxa"/>
            <w:tcMar>
              <w:top w:w="0" w:type="dxa"/>
              <w:bottom w:w="0" w:type="dxa"/>
            </w:tcMar>
            <w:vAlign w:val="center"/>
          </w:tcPr>
          <w:p w14:paraId="7F5D2380" w14:textId="77777777" w:rsidR="002426AE" w:rsidRDefault="000917D2">
            <w:pPr>
              <w:keepNext/>
              <w:keepLines/>
              <w:spacing w:after="0" w:line="240" w:lineRule="auto"/>
            </w:pPr>
            <w:r>
              <w:rPr>
                <w:sz w:val="18"/>
              </w:rPr>
              <w:t>313</w:t>
            </w:r>
          </w:p>
        </w:tc>
        <w:tc>
          <w:tcPr>
            <w:tcW w:w="1860" w:type="dxa"/>
            <w:tcMar>
              <w:top w:w="0" w:type="dxa"/>
              <w:bottom w:w="0" w:type="dxa"/>
            </w:tcMar>
            <w:vAlign w:val="center"/>
          </w:tcPr>
          <w:p w14:paraId="3327D97D" w14:textId="77777777" w:rsidR="002426AE" w:rsidRDefault="000917D2">
            <w:pPr>
              <w:keepNext/>
              <w:keepLines/>
              <w:spacing w:after="0" w:line="240" w:lineRule="auto"/>
              <w:jc w:val="right"/>
            </w:pPr>
            <w:r>
              <w:rPr>
                <w:sz w:val="18"/>
              </w:rPr>
              <w:t>71.544,82</w:t>
            </w:r>
          </w:p>
        </w:tc>
        <w:tc>
          <w:tcPr>
            <w:tcW w:w="1860" w:type="dxa"/>
            <w:tcMar>
              <w:top w:w="0" w:type="dxa"/>
              <w:bottom w:w="0" w:type="dxa"/>
            </w:tcMar>
            <w:vAlign w:val="center"/>
          </w:tcPr>
          <w:p w14:paraId="1ACF7125" w14:textId="77777777" w:rsidR="002426AE" w:rsidRDefault="000917D2">
            <w:pPr>
              <w:keepNext/>
              <w:keepLines/>
              <w:spacing w:after="0" w:line="240" w:lineRule="auto"/>
              <w:jc w:val="right"/>
            </w:pPr>
            <w:r>
              <w:rPr>
                <w:sz w:val="18"/>
              </w:rPr>
              <w:t>87.103,07</w:t>
            </w:r>
          </w:p>
        </w:tc>
        <w:tc>
          <w:tcPr>
            <w:tcW w:w="700" w:type="dxa"/>
            <w:tcMar>
              <w:top w:w="0" w:type="dxa"/>
              <w:bottom w:w="0" w:type="dxa"/>
            </w:tcMar>
            <w:vAlign w:val="center"/>
          </w:tcPr>
          <w:p w14:paraId="23345F07" w14:textId="77777777" w:rsidR="002426AE" w:rsidRDefault="000917D2">
            <w:pPr>
              <w:keepNext/>
              <w:keepLines/>
              <w:spacing w:after="0" w:line="240" w:lineRule="auto"/>
              <w:jc w:val="right"/>
            </w:pPr>
            <w:r>
              <w:rPr>
                <w:sz w:val="18"/>
              </w:rPr>
              <w:t>121,7</w:t>
            </w:r>
          </w:p>
        </w:tc>
      </w:tr>
    </w:tbl>
    <w:p w14:paraId="29692182" w14:textId="77777777" w:rsidR="002426AE" w:rsidRDefault="002426AE">
      <w:pPr>
        <w:spacing w:after="0"/>
      </w:pPr>
    </w:p>
    <w:p w14:paraId="413732E5" w14:textId="77777777" w:rsidR="002426AE" w:rsidRDefault="000917D2">
      <w:r>
        <w:t>U odnosu na isto razdoblje prošle godine, rashodi doprinosa na plaće su povećani radi povećanja plaća i ostalih materijalnih rashoda za zaposlene</w:t>
      </w:r>
    </w:p>
    <w:p w14:paraId="7DA85DA5" w14:textId="77777777" w:rsidR="002426AE" w:rsidRDefault="002426AE"/>
    <w:p w14:paraId="3F1D76B5" w14:textId="77777777" w:rsidR="002426AE" w:rsidRDefault="000917D2">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426AE" w14:paraId="713EF95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85FC9A7" w14:textId="77777777" w:rsidR="002426AE" w:rsidRDefault="000917D2">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DC80BF2" w14:textId="77777777" w:rsidR="002426AE" w:rsidRDefault="000917D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E7F1B8E" w14:textId="77777777" w:rsidR="002426AE" w:rsidRDefault="000917D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D50EBDB" w14:textId="77777777" w:rsidR="002426AE" w:rsidRDefault="000917D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474FF29" w14:textId="77777777" w:rsidR="002426AE" w:rsidRDefault="000917D2">
            <w:pPr>
              <w:keepNext/>
              <w:keepLines/>
              <w:spacing w:after="0" w:line="240" w:lineRule="auto"/>
              <w:jc w:val="center"/>
            </w:pPr>
            <w:r>
              <w:rPr>
                <w:b/>
                <w:sz w:val="18"/>
              </w:rPr>
              <w:t>Ostvare</w:t>
            </w:r>
            <w:r>
              <w:rPr>
                <w:b/>
                <w:sz w:val="18"/>
              </w:rPr>
              <w:t>no u izvještajnom razdoblju tekuće godine</w:t>
            </w:r>
          </w:p>
        </w:tc>
        <w:tc>
          <w:tcPr>
            <w:tcW w:w="700" w:type="dxa"/>
            <w:shd w:val="clear" w:color="auto" w:fill="E7F0F9"/>
            <w:tcMar>
              <w:top w:w="0" w:type="dxa"/>
              <w:bottom w:w="0" w:type="dxa"/>
            </w:tcMar>
            <w:vAlign w:val="center"/>
          </w:tcPr>
          <w:p w14:paraId="676D9020" w14:textId="77777777" w:rsidR="002426AE" w:rsidRDefault="000917D2">
            <w:pPr>
              <w:keepNext/>
              <w:keepLines/>
              <w:spacing w:after="0" w:line="240" w:lineRule="auto"/>
              <w:jc w:val="center"/>
            </w:pPr>
            <w:r>
              <w:rPr>
                <w:b/>
                <w:sz w:val="18"/>
              </w:rPr>
              <w:t>Indeks (%)</w:t>
            </w:r>
          </w:p>
        </w:tc>
      </w:tr>
      <w:tr w:rsidR="002426AE" w14:paraId="2C55AEFC" w14:textId="77777777">
        <w:tblPrEx>
          <w:tblCellMar>
            <w:top w:w="0" w:type="dxa"/>
            <w:bottom w:w="0" w:type="dxa"/>
          </w:tblCellMar>
        </w:tblPrEx>
        <w:trPr>
          <w:cantSplit/>
          <w:trHeight w:val="560"/>
        </w:trPr>
        <w:tc>
          <w:tcPr>
            <w:tcW w:w="700" w:type="dxa"/>
            <w:tcMar>
              <w:top w:w="0" w:type="dxa"/>
              <w:bottom w:w="0" w:type="dxa"/>
            </w:tcMar>
            <w:vAlign w:val="center"/>
          </w:tcPr>
          <w:p w14:paraId="17F1212E" w14:textId="77777777" w:rsidR="002426AE" w:rsidRDefault="000917D2">
            <w:pPr>
              <w:keepNext/>
              <w:keepLines/>
              <w:spacing w:after="0" w:line="240" w:lineRule="auto"/>
            </w:pPr>
            <w:r>
              <w:rPr>
                <w:sz w:val="18"/>
              </w:rPr>
              <w:t>3223</w:t>
            </w:r>
          </w:p>
        </w:tc>
        <w:tc>
          <w:tcPr>
            <w:tcW w:w="3180" w:type="dxa"/>
            <w:tcMar>
              <w:top w:w="0" w:type="dxa"/>
              <w:bottom w:w="0" w:type="dxa"/>
            </w:tcMar>
            <w:vAlign w:val="center"/>
          </w:tcPr>
          <w:p w14:paraId="1892A4C6" w14:textId="77777777" w:rsidR="002426AE" w:rsidRDefault="000917D2">
            <w:pPr>
              <w:keepNext/>
              <w:keepLines/>
              <w:spacing w:after="0" w:line="240" w:lineRule="auto"/>
            </w:pPr>
            <w:r>
              <w:rPr>
                <w:sz w:val="18"/>
              </w:rPr>
              <w:t>Energija</w:t>
            </w:r>
          </w:p>
        </w:tc>
        <w:tc>
          <w:tcPr>
            <w:tcW w:w="700" w:type="dxa"/>
            <w:tcMar>
              <w:top w:w="0" w:type="dxa"/>
              <w:bottom w:w="0" w:type="dxa"/>
            </w:tcMar>
            <w:vAlign w:val="center"/>
          </w:tcPr>
          <w:p w14:paraId="4CC80936" w14:textId="77777777" w:rsidR="002426AE" w:rsidRDefault="000917D2">
            <w:pPr>
              <w:keepNext/>
              <w:keepLines/>
              <w:spacing w:after="0" w:line="240" w:lineRule="auto"/>
            </w:pPr>
            <w:r>
              <w:rPr>
                <w:sz w:val="18"/>
              </w:rPr>
              <w:t>3223</w:t>
            </w:r>
          </w:p>
        </w:tc>
        <w:tc>
          <w:tcPr>
            <w:tcW w:w="1860" w:type="dxa"/>
            <w:tcMar>
              <w:top w:w="0" w:type="dxa"/>
              <w:bottom w:w="0" w:type="dxa"/>
            </w:tcMar>
            <w:vAlign w:val="center"/>
          </w:tcPr>
          <w:p w14:paraId="311628D2" w14:textId="77777777" w:rsidR="002426AE" w:rsidRDefault="000917D2">
            <w:pPr>
              <w:keepNext/>
              <w:keepLines/>
              <w:spacing w:after="0" w:line="240" w:lineRule="auto"/>
              <w:jc w:val="right"/>
            </w:pPr>
            <w:r>
              <w:rPr>
                <w:sz w:val="18"/>
              </w:rPr>
              <w:t>8.952,97</w:t>
            </w:r>
          </w:p>
        </w:tc>
        <w:tc>
          <w:tcPr>
            <w:tcW w:w="1860" w:type="dxa"/>
            <w:tcMar>
              <w:top w:w="0" w:type="dxa"/>
              <w:bottom w:w="0" w:type="dxa"/>
            </w:tcMar>
            <w:vAlign w:val="center"/>
          </w:tcPr>
          <w:p w14:paraId="3A28CFB7" w14:textId="77777777" w:rsidR="002426AE" w:rsidRDefault="000917D2">
            <w:pPr>
              <w:keepNext/>
              <w:keepLines/>
              <w:spacing w:after="0" w:line="240" w:lineRule="auto"/>
              <w:jc w:val="right"/>
            </w:pPr>
            <w:r>
              <w:rPr>
                <w:sz w:val="18"/>
              </w:rPr>
              <w:t>11.606,84</w:t>
            </w:r>
          </w:p>
        </w:tc>
        <w:tc>
          <w:tcPr>
            <w:tcW w:w="700" w:type="dxa"/>
            <w:tcMar>
              <w:top w:w="0" w:type="dxa"/>
              <w:bottom w:w="0" w:type="dxa"/>
            </w:tcMar>
            <w:vAlign w:val="center"/>
          </w:tcPr>
          <w:p w14:paraId="4AB567A3" w14:textId="77777777" w:rsidR="002426AE" w:rsidRDefault="000917D2">
            <w:pPr>
              <w:keepNext/>
              <w:keepLines/>
              <w:spacing w:after="0" w:line="240" w:lineRule="auto"/>
              <w:jc w:val="right"/>
            </w:pPr>
            <w:r>
              <w:rPr>
                <w:sz w:val="18"/>
              </w:rPr>
              <w:t>129,6</w:t>
            </w:r>
          </w:p>
        </w:tc>
      </w:tr>
    </w:tbl>
    <w:p w14:paraId="6E26BA0F" w14:textId="77777777" w:rsidR="002426AE" w:rsidRDefault="002426AE">
      <w:pPr>
        <w:spacing w:after="0"/>
      </w:pPr>
    </w:p>
    <w:p w14:paraId="5EBCBA59" w14:textId="77777777" w:rsidR="002426AE" w:rsidRDefault="000917D2">
      <w:r>
        <w:t>U odnosu na isto razdoblje prošle godine, rashodi energije su povećani radi povećanja cijene energenata kroz izvještajno razdoblje</w:t>
      </w:r>
    </w:p>
    <w:p w14:paraId="0945CD90" w14:textId="77777777" w:rsidR="002426AE" w:rsidRDefault="002426AE"/>
    <w:p w14:paraId="55EBCFFF" w14:textId="77777777" w:rsidR="002426AE" w:rsidRDefault="000917D2">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426AE" w14:paraId="6B33735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2975CCD" w14:textId="77777777" w:rsidR="002426AE" w:rsidRDefault="000917D2">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3D00548" w14:textId="77777777" w:rsidR="002426AE" w:rsidRDefault="000917D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E6768B5" w14:textId="77777777" w:rsidR="002426AE" w:rsidRDefault="000917D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028C184" w14:textId="77777777" w:rsidR="002426AE" w:rsidRDefault="000917D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694D605" w14:textId="77777777" w:rsidR="002426AE" w:rsidRDefault="000917D2">
            <w:pPr>
              <w:keepNext/>
              <w:keepLines/>
              <w:spacing w:after="0" w:line="240" w:lineRule="auto"/>
              <w:jc w:val="center"/>
            </w:pPr>
            <w:r>
              <w:rPr>
                <w:b/>
                <w:sz w:val="18"/>
              </w:rPr>
              <w:t xml:space="preserve">Ostvareno u </w:t>
            </w:r>
            <w:r>
              <w:rPr>
                <w:b/>
                <w:sz w:val="18"/>
              </w:rPr>
              <w:t>izvještajnom razdoblju tekuće godine</w:t>
            </w:r>
          </w:p>
        </w:tc>
        <w:tc>
          <w:tcPr>
            <w:tcW w:w="700" w:type="dxa"/>
            <w:shd w:val="clear" w:color="auto" w:fill="E7F0F9"/>
            <w:tcMar>
              <w:top w:w="0" w:type="dxa"/>
              <w:bottom w:w="0" w:type="dxa"/>
            </w:tcMar>
            <w:vAlign w:val="center"/>
          </w:tcPr>
          <w:p w14:paraId="56E35B53" w14:textId="77777777" w:rsidR="002426AE" w:rsidRDefault="000917D2">
            <w:pPr>
              <w:keepNext/>
              <w:keepLines/>
              <w:spacing w:after="0" w:line="240" w:lineRule="auto"/>
              <w:jc w:val="center"/>
            </w:pPr>
            <w:r>
              <w:rPr>
                <w:b/>
                <w:sz w:val="18"/>
              </w:rPr>
              <w:t>Indeks (%)</w:t>
            </w:r>
          </w:p>
        </w:tc>
      </w:tr>
      <w:tr w:rsidR="002426AE" w14:paraId="70F726FC" w14:textId="77777777">
        <w:tblPrEx>
          <w:tblCellMar>
            <w:top w:w="0" w:type="dxa"/>
            <w:bottom w:w="0" w:type="dxa"/>
          </w:tblCellMar>
        </w:tblPrEx>
        <w:trPr>
          <w:cantSplit/>
          <w:trHeight w:val="560"/>
        </w:trPr>
        <w:tc>
          <w:tcPr>
            <w:tcW w:w="700" w:type="dxa"/>
            <w:tcMar>
              <w:top w:w="0" w:type="dxa"/>
              <w:bottom w:w="0" w:type="dxa"/>
            </w:tcMar>
            <w:vAlign w:val="center"/>
          </w:tcPr>
          <w:p w14:paraId="2FDDAC6D" w14:textId="77777777" w:rsidR="002426AE" w:rsidRDefault="000917D2">
            <w:pPr>
              <w:keepNext/>
              <w:keepLines/>
              <w:spacing w:after="0" w:line="240" w:lineRule="auto"/>
            </w:pPr>
            <w:r>
              <w:rPr>
                <w:sz w:val="18"/>
              </w:rPr>
              <w:t>323</w:t>
            </w:r>
          </w:p>
        </w:tc>
        <w:tc>
          <w:tcPr>
            <w:tcW w:w="3180" w:type="dxa"/>
            <w:tcMar>
              <w:top w:w="0" w:type="dxa"/>
              <w:bottom w:w="0" w:type="dxa"/>
            </w:tcMar>
            <w:vAlign w:val="center"/>
          </w:tcPr>
          <w:p w14:paraId="662C8BF7" w14:textId="77777777" w:rsidR="002426AE" w:rsidRDefault="000917D2">
            <w:pPr>
              <w:keepNext/>
              <w:keepLines/>
              <w:spacing w:after="0" w:line="240" w:lineRule="auto"/>
            </w:pPr>
            <w:r>
              <w:rPr>
                <w:sz w:val="18"/>
              </w:rPr>
              <w:t>Rashodi za usluge (šifre 3231 do 3239)</w:t>
            </w:r>
          </w:p>
        </w:tc>
        <w:tc>
          <w:tcPr>
            <w:tcW w:w="700" w:type="dxa"/>
            <w:tcMar>
              <w:top w:w="0" w:type="dxa"/>
              <w:bottom w:w="0" w:type="dxa"/>
            </w:tcMar>
            <w:vAlign w:val="center"/>
          </w:tcPr>
          <w:p w14:paraId="56026FAD" w14:textId="77777777" w:rsidR="002426AE" w:rsidRDefault="000917D2">
            <w:pPr>
              <w:keepNext/>
              <w:keepLines/>
              <w:spacing w:after="0" w:line="240" w:lineRule="auto"/>
            </w:pPr>
            <w:r>
              <w:rPr>
                <w:sz w:val="18"/>
              </w:rPr>
              <w:t>323</w:t>
            </w:r>
          </w:p>
        </w:tc>
        <w:tc>
          <w:tcPr>
            <w:tcW w:w="1860" w:type="dxa"/>
            <w:tcMar>
              <w:top w:w="0" w:type="dxa"/>
              <w:bottom w:w="0" w:type="dxa"/>
            </w:tcMar>
            <w:vAlign w:val="center"/>
          </w:tcPr>
          <w:p w14:paraId="36831DBC" w14:textId="77777777" w:rsidR="002426AE" w:rsidRDefault="000917D2">
            <w:pPr>
              <w:keepNext/>
              <w:keepLines/>
              <w:spacing w:after="0" w:line="240" w:lineRule="auto"/>
              <w:jc w:val="right"/>
            </w:pPr>
            <w:r>
              <w:rPr>
                <w:sz w:val="18"/>
              </w:rPr>
              <w:t>67.361,71</w:t>
            </w:r>
          </w:p>
        </w:tc>
        <w:tc>
          <w:tcPr>
            <w:tcW w:w="1860" w:type="dxa"/>
            <w:tcMar>
              <w:top w:w="0" w:type="dxa"/>
              <w:bottom w:w="0" w:type="dxa"/>
            </w:tcMar>
            <w:vAlign w:val="center"/>
          </w:tcPr>
          <w:p w14:paraId="5F187FA0" w14:textId="77777777" w:rsidR="002426AE" w:rsidRDefault="000917D2">
            <w:pPr>
              <w:keepNext/>
              <w:keepLines/>
              <w:spacing w:after="0" w:line="240" w:lineRule="auto"/>
              <w:jc w:val="right"/>
            </w:pPr>
            <w:r>
              <w:rPr>
                <w:sz w:val="18"/>
              </w:rPr>
              <w:t>81.718,25</w:t>
            </w:r>
          </w:p>
        </w:tc>
        <w:tc>
          <w:tcPr>
            <w:tcW w:w="700" w:type="dxa"/>
            <w:tcMar>
              <w:top w:w="0" w:type="dxa"/>
              <w:bottom w:w="0" w:type="dxa"/>
            </w:tcMar>
            <w:vAlign w:val="center"/>
          </w:tcPr>
          <w:p w14:paraId="49E4FE28" w14:textId="77777777" w:rsidR="002426AE" w:rsidRDefault="000917D2">
            <w:pPr>
              <w:keepNext/>
              <w:keepLines/>
              <w:spacing w:after="0" w:line="240" w:lineRule="auto"/>
              <w:jc w:val="right"/>
            </w:pPr>
            <w:r>
              <w:rPr>
                <w:sz w:val="18"/>
              </w:rPr>
              <w:t>121,3</w:t>
            </w:r>
          </w:p>
        </w:tc>
      </w:tr>
    </w:tbl>
    <w:p w14:paraId="549F854F" w14:textId="77777777" w:rsidR="002426AE" w:rsidRDefault="002426AE">
      <w:pPr>
        <w:spacing w:after="0"/>
      </w:pPr>
    </w:p>
    <w:p w14:paraId="06CA19F8" w14:textId="77777777" w:rsidR="002426AE" w:rsidRDefault="000917D2">
      <w:r>
        <w:t>U odnosu na isto razdoblje prošle godine, rashodi za usluge su povećani radi povećanja cijena usluga održavanja kroz izvještajno razdoblje</w:t>
      </w:r>
    </w:p>
    <w:p w14:paraId="1252F2A6" w14:textId="77777777" w:rsidR="002426AE" w:rsidRDefault="002426AE"/>
    <w:p w14:paraId="13337C96" w14:textId="77777777" w:rsidR="002426AE" w:rsidRDefault="000917D2">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426AE" w14:paraId="0C0527C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93F3566" w14:textId="77777777" w:rsidR="002426AE" w:rsidRDefault="000917D2">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8F058A7" w14:textId="77777777" w:rsidR="002426AE" w:rsidRDefault="000917D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785ED43" w14:textId="77777777" w:rsidR="002426AE" w:rsidRDefault="000917D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7EC0112" w14:textId="77777777" w:rsidR="002426AE" w:rsidRDefault="000917D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3F218A9" w14:textId="77777777" w:rsidR="002426AE" w:rsidRDefault="000917D2">
            <w:pPr>
              <w:keepNext/>
              <w:keepLines/>
              <w:spacing w:after="0" w:line="240" w:lineRule="auto"/>
              <w:jc w:val="center"/>
            </w:pPr>
            <w:r>
              <w:rPr>
                <w:b/>
                <w:sz w:val="18"/>
              </w:rPr>
              <w:t>Ostvareno u iz</w:t>
            </w:r>
            <w:r>
              <w:rPr>
                <w:b/>
                <w:sz w:val="18"/>
              </w:rPr>
              <w:t>vještajnom razdoblju tekuće godine</w:t>
            </w:r>
          </w:p>
        </w:tc>
        <w:tc>
          <w:tcPr>
            <w:tcW w:w="700" w:type="dxa"/>
            <w:shd w:val="clear" w:color="auto" w:fill="E7F0F9"/>
            <w:tcMar>
              <w:top w:w="0" w:type="dxa"/>
              <w:bottom w:w="0" w:type="dxa"/>
            </w:tcMar>
            <w:vAlign w:val="center"/>
          </w:tcPr>
          <w:p w14:paraId="69A8CE74" w14:textId="77777777" w:rsidR="002426AE" w:rsidRDefault="000917D2">
            <w:pPr>
              <w:keepNext/>
              <w:keepLines/>
              <w:spacing w:after="0" w:line="240" w:lineRule="auto"/>
              <w:jc w:val="center"/>
            </w:pPr>
            <w:r>
              <w:rPr>
                <w:b/>
                <w:sz w:val="18"/>
              </w:rPr>
              <w:t>Indeks (%)</w:t>
            </w:r>
          </w:p>
        </w:tc>
      </w:tr>
      <w:tr w:rsidR="002426AE" w14:paraId="6A38AC9E" w14:textId="77777777">
        <w:tblPrEx>
          <w:tblCellMar>
            <w:top w:w="0" w:type="dxa"/>
            <w:bottom w:w="0" w:type="dxa"/>
          </w:tblCellMar>
        </w:tblPrEx>
        <w:trPr>
          <w:cantSplit/>
          <w:trHeight w:val="560"/>
        </w:trPr>
        <w:tc>
          <w:tcPr>
            <w:tcW w:w="700" w:type="dxa"/>
            <w:tcMar>
              <w:top w:w="0" w:type="dxa"/>
              <w:bottom w:w="0" w:type="dxa"/>
            </w:tcMar>
            <w:vAlign w:val="center"/>
          </w:tcPr>
          <w:p w14:paraId="3CD41639" w14:textId="77777777" w:rsidR="002426AE" w:rsidRDefault="000917D2">
            <w:pPr>
              <w:keepNext/>
              <w:keepLines/>
              <w:spacing w:after="0" w:line="240" w:lineRule="auto"/>
            </w:pPr>
            <w:r>
              <w:rPr>
                <w:sz w:val="18"/>
              </w:rPr>
              <w:t>3232</w:t>
            </w:r>
          </w:p>
        </w:tc>
        <w:tc>
          <w:tcPr>
            <w:tcW w:w="3180" w:type="dxa"/>
            <w:tcMar>
              <w:top w:w="0" w:type="dxa"/>
              <w:bottom w:w="0" w:type="dxa"/>
            </w:tcMar>
            <w:vAlign w:val="center"/>
          </w:tcPr>
          <w:p w14:paraId="2F655822" w14:textId="77777777" w:rsidR="002426AE" w:rsidRDefault="000917D2">
            <w:pPr>
              <w:keepNext/>
              <w:keepLines/>
              <w:spacing w:after="0" w:line="240" w:lineRule="auto"/>
            </w:pPr>
            <w:r>
              <w:rPr>
                <w:sz w:val="18"/>
              </w:rPr>
              <w:t>Usluge tekućeg i investicijskog održavanja</w:t>
            </w:r>
          </w:p>
        </w:tc>
        <w:tc>
          <w:tcPr>
            <w:tcW w:w="700" w:type="dxa"/>
            <w:tcMar>
              <w:top w:w="0" w:type="dxa"/>
              <w:bottom w:w="0" w:type="dxa"/>
            </w:tcMar>
            <w:vAlign w:val="center"/>
          </w:tcPr>
          <w:p w14:paraId="5DF2D882" w14:textId="77777777" w:rsidR="002426AE" w:rsidRDefault="000917D2">
            <w:pPr>
              <w:keepNext/>
              <w:keepLines/>
              <w:spacing w:after="0" w:line="240" w:lineRule="auto"/>
            </w:pPr>
            <w:r>
              <w:rPr>
                <w:sz w:val="18"/>
              </w:rPr>
              <w:t>3232</w:t>
            </w:r>
          </w:p>
        </w:tc>
        <w:tc>
          <w:tcPr>
            <w:tcW w:w="1860" w:type="dxa"/>
            <w:tcMar>
              <w:top w:w="0" w:type="dxa"/>
              <w:bottom w:w="0" w:type="dxa"/>
            </w:tcMar>
            <w:vAlign w:val="center"/>
          </w:tcPr>
          <w:p w14:paraId="4868C9FE" w14:textId="77777777" w:rsidR="002426AE" w:rsidRDefault="000917D2">
            <w:pPr>
              <w:keepNext/>
              <w:keepLines/>
              <w:spacing w:after="0" w:line="240" w:lineRule="auto"/>
              <w:jc w:val="right"/>
            </w:pPr>
            <w:r>
              <w:rPr>
                <w:sz w:val="18"/>
              </w:rPr>
              <w:t>2.551,51</w:t>
            </w:r>
          </w:p>
        </w:tc>
        <w:tc>
          <w:tcPr>
            <w:tcW w:w="1860" w:type="dxa"/>
            <w:tcMar>
              <w:top w:w="0" w:type="dxa"/>
              <w:bottom w:w="0" w:type="dxa"/>
            </w:tcMar>
            <w:vAlign w:val="center"/>
          </w:tcPr>
          <w:p w14:paraId="7719FC26" w14:textId="77777777" w:rsidR="002426AE" w:rsidRDefault="000917D2">
            <w:pPr>
              <w:keepNext/>
              <w:keepLines/>
              <w:spacing w:after="0" w:line="240" w:lineRule="auto"/>
              <w:jc w:val="right"/>
            </w:pPr>
            <w:r>
              <w:rPr>
                <w:sz w:val="18"/>
              </w:rPr>
              <w:t>9.729,01</w:t>
            </w:r>
          </w:p>
        </w:tc>
        <w:tc>
          <w:tcPr>
            <w:tcW w:w="700" w:type="dxa"/>
            <w:tcMar>
              <w:top w:w="0" w:type="dxa"/>
              <w:bottom w:w="0" w:type="dxa"/>
            </w:tcMar>
            <w:vAlign w:val="center"/>
          </w:tcPr>
          <w:p w14:paraId="3AEB26B4" w14:textId="77777777" w:rsidR="002426AE" w:rsidRDefault="000917D2">
            <w:pPr>
              <w:keepNext/>
              <w:keepLines/>
              <w:spacing w:after="0" w:line="240" w:lineRule="auto"/>
              <w:jc w:val="right"/>
            </w:pPr>
            <w:r>
              <w:rPr>
                <w:sz w:val="18"/>
              </w:rPr>
              <w:t>381,3</w:t>
            </w:r>
          </w:p>
        </w:tc>
      </w:tr>
    </w:tbl>
    <w:p w14:paraId="1B431273" w14:textId="77777777" w:rsidR="002426AE" w:rsidRDefault="002426AE">
      <w:pPr>
        <w:spacing w:after="0"/>
      </w:pPr>
    </w:p>
    <w:p w14:paraId="77279293" w14:textId="77777777" w:rsidR="002426AE" w:rsidRDefault="000917D2">
      <w:r>
        <w:t>U odnosu na isto razdoblje prošle godine, rashodi za usluge tekućeg i investicijskog održavanja su povećani radi izvanredne sanacije sustava centralnog grijanja te sanacije i montaže novog plamenika u kotlovnici</w:t>
      </w:r>
    </w:p>
    <w:p w14:paraId="442F1893" w14:textId="77777777" w:rsidR="002426AE" w:rsidRDefault="002426AE"/>
    <w:p w14:paraId="5DCE8CF4" w14:textId="77777777" w:rsidR="002426AE" w:rsidRDefault="000917D2">
      <w:pPr>
        <w:keepNext/>
        <w:spacing w:line="240" w:lineRule="auto"/>
        <w:jc w:val="center"/>
      </w:pPr>
      <w:r>
        <w:rPr>
          <w:sz w:val="28"/>
        </w:rPr>
        <w:lastRenderedPageBreak/>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426AE" w14:paraId="44221A2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8024667" w14:textId="77777777" w:rsidR="002426AE" w:rsidRDefault="000917D2">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A53CE7C" w14:textId="77777777" w:rsidR="002426AE" w:rsidRDefault="000917D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C25488F" w14:textId="77777777" w:rsidR="002426AE" w:rsidRDefault="000917D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D5D63CD" w14:textId="77777777" w:rsidR="002426AE" w:rsidRDefault="000917D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2CA7EBE" w14:textId="77777777" w:rsidR="002426AE" w:rsidRDefault="000917D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D6D45F8" w14:textId="77777777" w:rsidR="002426AE" w:rsidRDefault="000917D2">
            <w:pPr>
              <w:keepNext/>
              <w:keepLines/>
              <w:spacing w:after="0" w:line="240" w:lineRule="auto"/>
              <w:jc w:val="center"/>
            </w:pPr>
            <w:r>
              <w:rPr>
                <w:b/>
                <w:sz w:val="18"/>
              </w:rPr>
              <w:t>Indeks (%)</w:t>
            </w:r>
          </w:p>
        </w:tc>
      </w:tr>
      <w:tr w:rsidR="002426AE" w14:paraId="43E81633" w14:textId="77777777">
        <w:tblPrEx>
          <w:tblCellMar>
            <w:top w:w="0" w:type="dxa"/>
            <w:bottom w:w="0" w:type="dxa"/>
          </w:tblCellMar>
        </w:tblPrEx>
        <w:trPr>
          <w:cantSplit/>
          <w:trHeight w:val="560"/>
        </w:trPr>
        <w:tc>
          <w:tcPr>
            <w:tcW w:w="700" w:type="dxa"/>
            <w:tcMar>
              <w:top w:w="0" w:type="dxa"/>
              <w:bottom w:w="0" w:type="dxa"/>
            </w:tcMar>
            <w:vAlign w:val="center"/>
          </w:tcPr>
          <w:p w14:paraId="6B531D71" w14:textId="77777777" w:rsidR="002426AE" w:rsidRDefault="000917D2">
            <w:pPr>
              <w:keepNext/>
              <w:keepLines/>
              <w:spacing w:after="0" w:line="240" w:lineRule="auto"/>
            </w:pPr>
            <w:r>
              <w:rPr>
                <w:sz w:val="18"/>
              </w:rPr>
              <w:t>3234</w:t>
            </w:r>
          </w:p>
        </w:tc>
        <w:tc>
          <w:tcPr>
            <w:tcW w:w="3180" w:type="dxa"/>
            <w:tcMar>
              <w:top w:w="0" w:type="dxa"/>
              <w:bottom w:w="0" w:type="dxa"/>
            </w:tcMar>
            <w:vAlign w:val="center"/>
          </w:tcPr>
          <w:p w14:paraId="6E9D63DF" w14:textId="77777777" w:rsidR="002426AE" w:rsidRDefault="000917D2">
            <w:pPr>
              <w:keepNext/>
              <w:keepLines/>
              <w:spacing w:after="0" w:line="240" w:lineRule="auto"/>
            </w:pPr>
            <w:r>
              <w:rPr>
                <w:sz w:val="18"/>
              </w:rPr>
              <w:t>Komunalne usluge</w:t>
            </w:r>
          </w:p>
        </w:tc>
        <w:tc>
          <w:tcPr>
            <w:tcW w:w="700" w:type="dxa"/>
            <w:tcMar>
              <w:top w:w="0" w:type="dxa"/>
              <w:bottom w:w="0" w:type="dxa"/>
            </w:tcMar>
            <w:vAlign w:val="center"/>
          </w:tcPr>
          <w:p w14:paraId="270D4A8A" w14:textId="77777777" w:rsidR="002426AE" w:rsidRDefault="000917D2">
            <w:pPr>
              <w:keepNext/>
              <w:keepLines/>
              <w:spacing w:after="0" w:line="240" w:lineRule="auto"/>
            </w:pPr>
            <w:r>
              <w:rPr>
                <w:sz w:val="18"/>
              </w:rPr>
              <w:t>3234</w:t>
            </w:r>
          </w:p>
        </w:tc>
        <w:tc>
          <w:tcPr>
            <w:tcW w:w="1860" w:type="dxa"/>
            <w:tcMar>
              <w:top w:w="0" w:type="dxa"/>
              <w:bottom w:w="0" w:type="dxa"/>
            </w:tcMar>
            <w:vAlign w:val="center"/>
          </w:tcPr>
          <w:p w14:paraId="43F15298" w14:textId="77777777" w:rsidR="002426AE" w:rsidRDefault="000917D2">
            <w:pPr>
              <w:keepNext/>
              <w:keepLines/>
              <w:spacing w:after="0" w:line="240" w:lineRule="auto"/>
              <w:jc w:val="right"/>
            </w:pPr>
            <w:r>
              <w:rPr>
                <w:sz w:val="18"/>
              </w:rPr>
              <w:t>2.081,58</w:t>
            </w:r>
          </w:p>
        </w:tc>
        <w:tc>
          <w:tcPr>
            <w:tcW w:w="1860" w:type="dxa"/>
            <w:tcMar>
              <w:top w:w="0" w:type="dxa"/>
              <w:bottom w:w="0" w:type="dxa"/>
            </w:tcMar>
            <w:vAlign w:val="center"/>
          </w:tcPr>
          <w:p w14:paraId="1BFA6F7B" w14:textId="77777777" w:rsidR="002426AE" w:rsidRDefault="000917D2">
            <w:pPr>
              <w:keepNext/>
              <w:keepLines/>
              <w:spacing w:after="0" w:line="240" w:lineRule="auto"/>
              <w:jc w:val="right"/>
            </w:pPr>
            <w:r>
              <w:rPr>
                <w:sz w:val="18"/>
              </w:rPr>
              <w:t>2.757,41</w:t>
            </w:r>
          </w:p>
        </w:tc>
        <w:tc>
          <w:tcPr>
            <w:tcW w:w="700" w:type="dxa"/>
            <w:tcMar>
              <w:top w:w="0" w:type="dxa"/>
              <w:bottom w:w="0" w:type="dxa"/>
            </w:tcMar>
            <w:vAlign w:val="center"/>
          </w:tcPr>
          <w:p w14:paraId="7193887D" w14:textId="77777777" w:rsidR="002426AE" w:rsidRDefault="000917D2">
            <w:pPr>
              <w:keepNext/>
              <w:keepLines/>
              <w:spacing w:after="0" w:line="240" w:lineRule="auto"/>
              <w:jc w:val="right"/>
            </w:pPr>
            <w:r>
              <w:rPr>
                <w:sz w:val="18"/>
              </w:rPr>
              <w:t>132,5</w:t>
            </w:r>
          </w:p>
        </w:tc>
      </w:tr>
    </w:tbl>
    <w:p w14:paraId="39A886DB" w14:textId="77777777" w:rsidR="002426AE" w:rsidRDefault="002426AE">
      <w:pPr>
        <w:spacing w:after="0"/>
      </w:pPr>
    </w:p>
    <w:p w14:paraId="114A61B8" w14:textId="77777777" w:rsidR="002426AE" w:rsidRDefault="000917D2">
      <w:r>
        <w:t>U odnosu na isto razdoblje prošle godine, rashodi za komunalne usluge su povećani radi povećanja cijena kroz izvještajno razdoblje</w:t>
      </w:r>
    </w:p>
    <w:p w14:paraId="6D93815E" w14:textId="77777777" w:rsidR="002426AE" w:rsidRDefault="002426AE"/>
    <w:p w14:paraId="4ED6F5D3" w14:textId="77777777" w:rsidR="002426AE" w:rsidRDefault="000917D2">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426AE" w14:paraId="6DFC847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7A1711A" w14:textId="77777777" w:rsidR="002426AE" w:rsidRDefault="000917D2">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77CB6ED" w14:textId="77777777" w:rsidR="002426AE" w:rsidRDefault="000917D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682A30E" w14:textId="77777777" w:rsidR="002426AE" w:rsidRDefault="000917D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CB5F46D" w14:textId="77777777" w:rsidR="002426AE" w:rsidRDefault="000917D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B6ED71C" w14:textId="77777777" w:rsidR="002426AE" w:rsidRDefault="000917D2">
            <w:pPr>
              <w:keepNext/>
              <w:keepLines/>
              <w:spacing w:after="0" w:line="240" w:lineRule="auto"/>
              <w:jc w:val="center"/>
            </w:pPr>
            <w:r>
              <w:rPr>
                <w:b/>
                <w:sz w:val="18"/>
              </w:rPr>
              <w:t>Ostvareno u izvještajn</w:t>
            </w:r>
            <w:r>
              <w:rPr>
                <w:b/>
                <w:sz w:val="18"/>
              </w:rPr>
              <w:t>om razdoblju tekuće godine</w:t>
            </w:r>
          </w:p>
        </w:tc>
        <w:tc>
          <w:tcPr>
            <w:tcW w:w="700" w:type="dxa"/>
            <w:shd w:val="clear" w:color="auto" w:fill="E7F0F9"/>
            <w:tcMar>
              <w:top w:w="0" w:type="dxa"/>
              <w:bottom w:w="0" w:type="dxa"/>
            </w:tcMar>
            <w:vAlign w:val="center"/>
          </w:tcPr>
          <w:p w14:paraId="763F1B05" w14:textId="77777777" w:rsidR="002426AE" w:rsidRDefault="000917D2">
            <w:pPr>
              <w:keepNext/>
              <w:keepLines/>
              <w:spacing w:after="0" w:line="240" w:lineRule="auto"/>
              <w:jc w:val="center"/>
            </w:pPr>
            <w:r>
              <w:rPr>
                <w:b/>
                <w:sz w:val="18"/>
              </w:rPr>
              <w:t>Indeks (%)</w:t>
            </w:r>
          </w:p>
        </w:tc>
      </w:tr>
      <w:tr w:rsidR="002426AE" w14:paraId="747E62C3" w14:textId="77777777">
        <w:tblPrEx>
          <w:tblCellMar>
            <w:top w:w="0" w:type="dxa"/>
            <w:bottom w:w="0" w:type="dxa"/>
          </w:tblCellMar>
        </w:tblPrEx>
        <w:trPr>
          <w:cantSplit/>
          <w:trHeight w:val="560"/>
        </w:trPr>
        <w:tc>
          <w:tcPr>
            <w:tcW w:w="700" w:type="dxa"/>
            <w:tcMar>
              <w:top w:w="0" w:type="dxa"/>
              <w:bottom w:w="0" w:type="dxa"/>
            </w:tcMar>
            <w:vAlign w:val="center"/>
          </w:tcPr>
          <w:p w14:paraId="0B7236E0" w14:textId="77777777" w:rsidR="002426AE" w:rsidRDefault="000917D2">
            <w:pPr>
              <w:keepNext/>
              <w:keepLines/>
              <w:spacing w:after="0" w:line="240" w:lineRule="auto"/>
            </w:pPr>
            <w:r>
              <w:rPr>
                <w:sz w:val="18"/>
              </w:rPr>
              <w:t>3236</w:t>
            </w:r>
          </w:p>
        </w:tc>
        <w:tc>
          <w:tcPr>
            <w:tcW w:w="3180" w:type="dxa"/>
            <w:tcMar>
              <w:top w:w="0" w:type="dxa"/>
              <w:bottom w:w="0" w:type="dxa"/>
            </w:tcMar>
            <w:vAlign w:val="center"/>
          </w:tcPr>
          <w:p w14:paraId="37AFF609" w14:textId="77777777" w:rsidR="002426AE" w:rsidRDefault="000917D2">
            <w:pPr>
              <w:keepNext/>
              <w:keepLines/>
              <w:spacing w:after="0" w:line="240" w:lineRule="auto"/>
            </w:pPr>
            <w:r>
              <w:rPr>
                <w:sz w:val="18"/>
              </w:rPr>
              <w:t>Zdravstvene i veterinarske usluge</w:t>
            </w:r>
          </w:p>
        </w:tc>
        <w:tc>
          <w:tcPr>
            <w:tcW w:w="700" w:type="dxa"/>
            <w:tcMar>
              <w:top w:w="0" w:type="dxa"/>
              <w:bottom w:w="0" w:type="dxa"/>
            </w:tcMar>
            <w:vAlign w:val="center"/>
          </w:tcPr>
          <w:p w14:paraId="747E75C2" w14:textId="77777777" w:rsidR="002426AE" w:rsidRDefault="000917D2">
            <w:pPr>
              <w:keepNext/>
              <w:keepLines/>
              <w:spacing w:after="0" w:line="240" w:lineRule="auto"/>
            </w:pPr>
            <w:r>
              <w:rPr>
                <w:sz w:val="18"/>
              </w:rPr>
              <w:t>3236</w:t>
            </w:r>
          </w:p>
        </w:tc>
        <w:tc>
          <w:tcPr>
            <w:tcW w:w="1860" w:type="dxa"/>
            <w:tcMar>
              <w:top w:w="0" w:type="dxa"/>
              <w:bottom w:w="0" w:type="dxa"/>
            </w:tcMar>
            <w:vAlign w:val="center"/>
          </w:tcPr>
          <w:p w14:paraId="3278800C" w14:textId="77777777" w:rsidR="002426AE" w:rsidRDefault="000917D2">
            <w:pPr>
              <w:keepNext/>
              <w:keepLines/>
              <w:spacing w:after="0" w:line="240" w:lineRule="auto"/>
              <w:jc w:val="right"/>
            </w:pPr>
            <w:r>
              <w:rPr>
                <w:sz w:val="18"/>
              </w:rPr>
              <w:t>526,06</w:t>
            </w:r>
          </w:p>
        </w:tc>
        <w:tc>
          <w:tcPr>
            <w:tcW w:w="1860" w:type="dxa"/>
            <w:tcMar>
              <w:top w:w="0" w:type="dxa"/>
              <w:bottom w:w="0" w:type="dxa"/>
            </w:tcMar>
            <w:vAlign w:val="center"/>
          </w:tcPr>
          <w:p w14:paraId="53D52DD7" w14:textId="77777777" w:rsidR="002426AE" w:rsidRDefault="000917D2">
            <w:pPr>
              <w:keepNext/>
              <w:keepLines/>
              <w:spacing w:after="0" w:line="240" w:lineRule="auto"/>
              <w:jc w:val="right"/>
            </w:pPr>
            <w:r>
              <w:rPr>
                <w:sz w:val="18"/>
              </w:rPr>
              <w:t>940,00</w:t>
            </w:r>
          </w:p>
        </w:tc>
        <w:tc>
          <w:tcPr>
            <w:tcW w:w="700" w:type="dxa"/>
            <w:tcMar>
              <w:top w:w="0" w:type="dxa"/>
              <w:bottom w:w="0" w:type="dxa"/>
            </w:tcMar>
            <w:vAlign w:val="center"/>
          </w:tcPr>
          <w:p w14:paraId="344C7702" w14:textId="77777777" w:rsidR="002426AE" w:rsidRDefault="000917D2">
            <w:pPr>
              <w:keepNext/>
              <w:keepLines/>
              <w:spacing w:after="0" w:line="240" w:lineRule="auto"/>
              <w:jc w:val="right"/>
            </w:pPr>
            <w:r>
              <w:rPr>
                <w:sz w:val="18"/>
              </w:rPr>
              <w:t>178,7</w:t>
            </w:r>
          </w:p>
        </w:tc>
      </w:tr>
    </w:tbl>
    <w:p w14:paraId="2F9FC748" w14:textId="77777777" w:rsidR="002426AE" w:rsidRDefault="002426AE">
      <w:pPr>
        <w:spacing w:after="0"/>
      </w:pPr>
    </w:p>
    <w:p w14:paraId="1FACD320" w14:textId="77777777" w:rsidR="002426AE" w:rsidRDefault="000917D2">
      <w:r>
        <w:t>U odnosu na isto razdoblje prošle godine, rashodi za zdravstvene i veterinarske usluge su povećani radi provođenja obveznog ispitivanja vode za ljudsku potrošnju u dva navrata</w:t>
      </w:r>
    </w:p>
    <w:p w14:paraId="442C2E6B" w14:textId="77777777" w:rsidR="002426AE" w:rsidRDefault="002426AE"/>
    <w:p w14:paraId="6DFD96C2" w14:textId="77777777" w:rsidR="002426AE" w:rsidRDefault="000917D2">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426AE" w14:paraId="03464E5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48D9327" w14:textId="77777777" w:rsidR="002426AE" w:rsidRDefault="000917D2">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653109E" w14:textId="77777777" w:rsidR="002426AE" w:rsidRDefault="000917D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BB141E2" w14:textId="77777777" w:rsidR="002426AE" w:rsidRDefault="000917D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A3955B1" w14:textId="77777777" w:rsidR="002426AE" w:rsidRDefault="000917D2">
            <w:pPr>
              <w:keepNext/>
              <w:keepLines/>
              <w:spacing w:after="0" w:line="240" w:lineRule="auto"/>
              <w:jc w:val="center"/>
            </w:pPr>
            <w:r>
              <w:rPr>
                <w:b/>
                <w:sz w:val="18"/>
              </w:rPr>
              <w:t>Ostvareno u izvještajnom raz</w:t>
            </w:r>
            <w:r>
              <w:rPr>
                <w:b/>
                <w:sz w:val="18"/>
              </w:rPr>
              <w:t>doblju prethodne godine</w:t>
            </w:r>
          </w:p>
        </w:tc>
        <w:tc>
          <w:tcPr>
            <w:tcW w:w="1860" w:type="dxa"/>
            <w:shd w:val="clear" w:color="auto" w:fill="E7F0F9"/>
            <w:tcMar>
              <w:top w:w="0" w:type="dxa"/>
              <w:bottom w:w="0" w:type="dxa"/>
            </w:tcMar>
            <w:vAlign w:val="center"/>
          </w:tcPr>
          <w:p w14:paraId="149931EF" w14:textId="77777777" w:rsidR="002426AE" w:rsidRDefault="000917D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41D4E01" w14:textId="77777777" w:rsidR="002426AE" w:rsidRDefault="000917D2">
            <w:pPr>
              <w:keepNext/>
              <w:keepLines/>
              <w:spacing w:after="0" w:line="240" w:lineRule="auto"/>
              <w:jc w:val="center"/>
            </w:pPr>
            <w:r>
              <w:rPr>
                <w:b/>
                <w:sz w:val="18"/>
              </w:rPr>
              <w:t>Indeks (%)</w:t>
            </w:r>
          </w:p>
        </w:tc>
      </w:tr>
      <w:tr w:rsidR="002426AE" w14:paraId="5FA2AF52" w14:textId="77777777">
        <w:tblPrEx>
          <w:tblCellMar>
            <w:top w:w="0" w:type="dxa"/>
            <w:bottom w:w="0" w:type="dxa"/>
          </w:tblCellMar>
        </w:tblPrEx>
        <w:trPr>
          <w:cantSplit/>
          <w:trHeight w:val="560"/>
        </w:trPr>
        <w:tc>
          <w:tcPr>
            <w:tcW w:w="700" w:type="dxa"/>
            <w:tcMar>
              <w:top w:w="0" w:type="dxa"/>
              <w:bottom w:w="0" w:type="dxa"/>
            </w:tcMar>
            <w:vAlign w:val="center"/>
          </w:tcPr>
          <w:p w14:paraId="3B380824" w14:textId="77777777" w:rsidR="002426AE" w:rsidRDefault="000917D2">
            <w:pPr>
              <w:keepNext/>
              <w:keepLines/>
              <w:spacing w:after="0" w:line="240" w:lineRule="auto"/>
            </w:pPr>
            <w:r>
              <w:rPr>
                <w:sz w:val="18"/>
              </w:rPr>
              <w:t>3237</w:t>
            </w:r>
          </w:p>
        </w:tc>
        <w:tc>
          <w:tcPr>
            <w:tcW w:w="3180" w:type="dxa"/>
            <w:tcMar>
              <w:top w:w="0" w:type="dxa"/>
              <w:bottom w:w="0" w:type="dxa"/>
            </w:tcMar>
            <w:vAlign w:val="center"/>
          </w:tcPr>
          <w:p w14:paraId="6F9D312F" w14:textId="77777777" w:rsidR="002426AE" w:rsidRDefault="000917D2">
            <w:pPr>
              <w:keepNext/>
              <w:keepLines/>
              <w:spacing w:after="0" w:line="240" w:lineRule="auto"/>
            </w:pPr>
            <w:r>
              <w:rPr>
                <w:sz w:val="18"/>
              </w:rPr>
              <w:t>Intelektualne i osobne usluge</w:t>
            </w:r>
          </w:p>
        </w:tc>
        <w:tc>
          <w:tcPr>
            <w:tcW w:w="700" w:type="dxa"/>
            <w:tcMar>
              <w:top w:w="0" w:type="dxa"/>
              <w:bottom w:w="0" w:type="dxa"/>
            </w:tcMar>
            <w:vAlign w:val="center"/>
          </w:tcPr>
          <w:p w14:paraId="7C74BC53" w14:textId="77777777" w:rsidR="002426AE" w:rsidRDefault="000917D2">
            <w:pPr>
              <w:keepNext/>
              <w:keepLines/>
              <w:spacing w:after="0" w:line="240" w:lineRule="auto"/>
            </w:pPr>
            <w:r>
              <w:rPr>
                <w:sz w:val="18"/>
              </w:rPr>
              <w:t>3237</w:t>
            </w:r>
          </w:p>
        </w:tc>
        <w:tc>
          <w:tcPr>
            <w:tcW w:w="1860" w:type="dxa"/>
            <w:tcMar>
              <w:top w:w="0" w:type="dxa"/>
              <w:bottom w:w="0" w:type="dxa"/>
            </w:tcMar>
            <w:vAlign w:val="center"/>
          </w:tcPr>
          <w:p w14:paraId="2569BDDB" w14:textId="77777777" w:rsidR="002426AE" w:rsidRDefault="000917D2">
            <w:pPr>
              <w:keepNext/>
              <w:keepLines/>
              <w:spacing w:after="0" w:line="240" w:lineRule="auto"/>
              <w:jc w:val="right"/>
            </w:pPr>
            <w:r>
              <w:rPr>
                <w:sz w:val="18"/>
              </w:rPr>
              <w:t>1.613,00</w:t>
            </w:r>
          </w:p>
        </w:tc>
        <w:tc>
          <w:tcPr>
            <w:tcW w:w="1860" w:type="dxa"/>
            <w:tcMar>
              <w:top w:w="0" w:type="dxa"/>
              <w:bottom w:w="0" w:type="dxa"/>
            </w:tcMar>
            <w:vAlign w:val="center"/>
          </w:tcPr>
          <w:p w14:paraId="64A53E38" w14:textId="77777777" w:rsidR="002426AE" w:rsidRDefault="000917D2">
            <w:pPr>
              <w:keepNext/>
              <w:keepLines/>
              <w:spacing w:after="0" w:line="240" w:lineRule="auto"/>
              <w:jc w:val="right"/>
            </w:pPr>
            <w:r>
              <w:rPr>
                <w:sz w:val="18"/>
              </w:rPr>
              <w:t>2.706,25</w:t>
            </w:r>
          </w:p>
        </w:tc>
        <w:tc>
          <w:tcPr>
            <w:tcW w:w="700" w:type="dxa"/>
            <w:tcMar>
              <w:top w:w="0" w:type="dxa"/>
              <w:bottom w:w="0" w:type="dxa"/>
            </w:tcMar>
            <w:vAlign w:val="center"/>
          </w:tcPr>
          <w:p w14:paraId="3250C502" w14:textId="77777777" w:rsidR="002426AE" w:rsidRDefault="000917D2">
            <w:pPr>
              <w:keepNext/>
              <w:keepLines/>
              <w:spacing w:after="0" w:line="240" w:lineRule="auto"/>
              <w:jc w:val="right"/>
            </w:pPr>
            <w:r>
              <w:rPr>
                <w:sz w:val="18"/>
              </w:rPr>
              <w:t>167,8</w:t>
            </w:r>
          </w:p>
        </w:tc>
      </w:tr>
    </w:tbl>
    <w:p w14:paraId="7F2CD592" w14:textId="77777777" w:rsidR="002426AE" w:rsidRDefault="002426AE">
      <w:pPr>
        <w:spacing w:after="0"/>
      </w:pPr>
    </w:p>
    <w:p w14:paraId="760A3ABF" w14:textId="77777777" w:rsidR="002426AE" w:rsidRDefault="000917D2">
      <w:r>
        <w:t xml:space="preserve">U odnosu na isto razdoblje prošle godine, rashodi za intelektualne i osobne usluge su povećani radi isplate troškova parničenja bivšoj djelatnici škole kojoj je škola sudskom presudom bila obvezna podmiriti. Odrađena je i izrada procjene rizika prema ZZNR </w:t>
      </w:r>
      <w:r>
        <w:t>a sve vezano za zaštitu na radu.</w:t>
      </w:r>
    </w:p>
    <w:p w14:paraId="017CA335" w14:textId="77777777" w:rsidR="002426AE" w:rsidRDefault="002426AE"/>
    <w:p w14:paraId="258DD86F" w14:textId="77777777" w:rsidR="002426AE" w:rsidRDefault="000917D2">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426AE" w14:paraId="0BD1B9F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DB4EC4C" w14:textId="77777777" w:rsidR="002426AE" w:rsidRDefault="000917D2">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0D9FA03" w14:textId="77777777" w:rsidR="002426AE" w:rsidRDefault="000917D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5591185" w14:textId="77777777" w:rsidR="002426AE" w:rsidRDefault="000917D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501D948" w14:textId="77777777" w:rsidR="002426AE" w:rsidRDefault="000917D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2F98150" w14:textId="77777777" w:rsidR="002426AE" w:rsidRDefault="000917D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8E2B1F4" w14:textId="77777777" w:rsidR="002426AE" w:rsidRDefault="000917D2">
            <w:pPr>
              <w:keepNext/>
              <w:keepLines/>
              <w:spacing w:after="0" w:line="240" w:lineRule="auto"/>
              <w:jc w:val="center"/>
            </w:pPr>
            <w:r>
              <w:rPr>
                <w:b/>
                <w:sz w:val="18"/>
              </w:rPr>
              <w:t>Indeks (%)</w:t>
            </w:r>
          </w:p>
        </w:tc>
      </w:tr>
      <w:tr w:rsidR="002426AE" w14:paraId="2A94CA2A" w14:textId="77777777">
        <w:tblPrEx>
          <w:tblCellMar>
            <w:top w:w="0" w:type="dxa"/>
            <w:bottom w:w="0" w:type="dxa"/>
          </w:tblCellMar>
        </w:tblPrEx>
        <w:trPr>
          <w:cantSplit/>
          <w:trHeight w:val="560"/>
        </w:trPr>
        <w:tc>
          <w:tcPr>
            <w:tcW w:w="700" w:type="dxa"/>
            <w:tcMar>
              <w:top w:w="0" w:type="dxa"/>
              <w:bottom w:w="0" w:type="dxa"/>
            </w:tcMar>
            <w:vAlign w:val="center"/>
          </w:tcPr>
          <w:p w14:paraId="07D79717" w14:textId="77777777" w:rsidR="002426AE" w:rsidRDefault="000917D2">
            <w:pPr>
              <w:keepNext/>
              <w:keepLines/>
              <w:spacing w:after="0" w:line="240" w:lineRule="auto"/>
            </w:pPr>
            <w:r>
              <w:rPr>
                <w:sz w:val="18"/>
              </w:rPr>
              <w:t>4</w:t>
            </w:r>
          </w:p>
        </w:tc>
        <w:tc>
          <w:tcPr>
            <w:tcW w:w="3180" w:type="dxa"/>
            <w:tcMar>
              <w:top w:w="0" w:type="dxa"/>
              <w:bottom w:w="0" w:type="dxa"/>
            </w:tcMar>
            <w:vAlign w:val="center"/>
          </w:tcPr>
          <w:p w14:paraId="74CC11D6" w14:textId="77777777" w:rsidR="002426AE" w:rsidRDefault="000917D2">
            <w:pPr>
              <w:keepNext/>
              <w:keepLines/>
              <w:spacing w:after="0" w:line="240" w:lineRule="auto"/>
            </w:pPr>
            <w:r>
              <w:rPr>
                <w:sz w:val="18"/>
              </w:rPr>
              <w:t xml:space="preserve">Rashodi za nabavu nefinancijske imovine (šifre </w:t>
            </w:r>
            <w:r>
              <w:rPr>
                <w:sz w:val="18"/>
              </w:rPr>
              <w:t>41+42+43+44+45)</w:t>
            </w:r>
          </w:p>
        </w:tc>
        <w:tc>
          <w:tcPr>
            <w:tcW w:w="700" w:type="dxa"/>
            <w:tcMar>
              <w:top w:w="0" w:type="dxa"/>
              <w:bottom w:w="0" w:type="dxa"/>
            </w:tcMar>
            <w:vAlign w:val="center"/>
          </w:tcPr>
          <w:p w14:paraId="53D53FB1" w14:textId="77777777" w:rsidR="002426AE" w:rsidRDefault="000917D2">
            <w:pPr>
              <w:keepNext/>
              <w:keepLines/>
              <w:spacing w:after="0" w:line="240" w:lineRule="auto"/>
            </w:pPr>
            <w:r>
              <w:rPr>
                <w:sz w:val="18"/>
              </w:rPr>
              <w:t>4</w:t>
            </w:r>
          </w:p>
        </w:tc>
        <w:tc>
          <w:tcPr>
            <w:tcW w:w="1860" w:type="dxa"/>
            <w:tcMar>
              <w:top w:w="0" w:type="dxa"/>
              <w:bottom w:w="0" w:type="dxa"/>
            </w:tcMar>
            <w:vAlign w:val="center"/>
          </w:tcPr>
          <w:p w14:paraId="36F95A5E" w14:textId="77777777" w:rsidR="002426AE" w:rsidRDefault="000917D2">
            <w:pPr>
              <w:keepNext/>
              <w:keepLines/>
              <w:spacing w:after="0" w:line="240" w:lineRule="auto"/>
              <w:jc w:val="right"/>
            </w:pPr>
            <w:r>
              <w:rPr>
                <w:sz w:val="18"/>
              </w:rPr>
              <w:t>8.133,25</w:t>
            </w:r>
          </w:p>
        </w:tc>
        <w:tc>
          <w:tcPr>
            <w:tcW w:w="1860" w:type="dxa"/>
            <w:tcMar>
              <w:top w:w="0" w:type="dxa"/>
              <w:bottom w:w="0" w:type="dxa"/>
            </w:tcMar>
            <w:vAlign w:val="center"/>
          </w:tcPr>
          <w:p w14:paraId="170CA5A9" w14:textId="77777777" w:rsidR="002426AE" w:rsidRDefault="000917D2">
            <w:pPr>
              <w:keepNext/>
              <w:keepLines/>
              <w:spacing w:after="0" w:line="240" w:lineRule="auto"/>
              <w:jc w:val="right"/>
            </w:pPr>
            <w:r>
              <w:rPr>
                <w:sz w:val="18"/>
              </w:rPr>
              <w:t>67.770,99</w:t>
            </w:r>
          </w:p>
        </w:tc>
        <w:tc>
          <w:tcPr>
            <w:tcW w:w="700" w:type="dxa"/>
            <w:tcMar>
              <w:top w:w="0" w:type="dxa"/>
              <w:bottom w:w="0" w:type="dxa"/>
            </w:tcMar>
            <w:vAlign w:val="center"/>
          </w:tcPr>
          <w:p w14:paraId="5B3C123E" w14:textId="77777777" w:rsidR="002426AE" w:rsidRDefault="000917D2">
            <w:pPr>
              <w:keepNext/>
              <w:keepLines/>
              <w:spacing w:after="0" w:line="240" w:lineRule="auto"/>
              <w:jc w:val="right"/>
            </w:pPr>
            <w:r>
              <w:rPr>
                <w:sz w:val="18"/>
              </w:rPr>
              <w:t>833,3</w:t>
            </w:r>
          </w:p>
        </w:tc>
      </w:tr>
    </w:tbl>
    <w:p w14:paraId="291C677B" w14:textId="77777777" w:rsidR="002426AE" w:rsidRDefault="002426AE">
      <w:pPr>
        <w:spacing w:after="0"/>
      </w:pPr>
    </w:p>
    <w:p w14:paraId="41BA9254" w14:textId="77777777" w:rsidR="002426AE" w:rsidRDefault="000917D2">
      <w:r>
        <w:t>U odnosu na isto razdoblje prošle godine, rashodi za nabavu nefinancijske imovine su značajno povećani radi nabave dva računala te najvećim dijelom radi financiranja usluga projektiranja za nadogradnju školske kuhinje i izgradnju dvorane.</w:t>
      </w:r>
    </w:p>
    <w:p w14:paraId="2D8C86A5" w14:textId="77777777" w:rsidR="002426AE" w:rsidRDefault="002426AE"/>
    <w:p w14:paraId="03163186" w14:textId="77777777" w:rsidR="002426AE" w:rsidRDefault="000917D2">
      <w:pPr>
        <w:keepNext/>
        <w:spacing w:line="240" w:lineRule="auto"/>
        <w:jc w:val="center"/>
      </w:pPr>
      <w:r>
        <w:rPr>
          <w:sz w:val="28"/>
        </w:rPr>
        <w:lastRenderedPageBreak/>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426AE" w14:paraId="273FDBD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576A365" w14:textId="77777777" w:rsidR="002426AE" w:rsidRDefault="000917D2">
            <w:pPr>
              <w:keepNext/>
              <w:keepLines/>
              <w:spacing w:after="0" w:line="240" w:lineRule="auto"/>
              <w:jc w:val="center"/>
            </w:pPr>
            <w:r>
              <w:rPr>
                <w:b/>
                <w:sz w:val="18"/>
              </w:rPr>
              <w:t>Rač</w:t>
            </w:r>
            <w:r>
              <w:rPr>
                <w:b/>
                <w:sz w:val="18"/>
              </w:rPr>
              <w:t>un iz rač. plana</w:t>
            </w:r>
          </w:p>
        </w:tc>
        <w:tc>
          <w:tcPr>
            <w:tcW w:w="3180" w:type="dxa"/>
            <w:shd w:val="clear" w:color="auto" w:fill="E7F0F9"/>
            <w:tcMar>
              <w:top w:w="0" w:type="dxa"/>
              <w:bottom w:w="0" w:type="dxa"/>
            </w:tcMar>
            <w:vAlign w:val="center"/>
          </w:tcPr>
          <w:p w14:paraId="336718A2" w14:textId="77777777" w:rsidR="002426AE" w:rsidRDefault="000917D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528DF81" w14:textId="77777777" w:rsidR="002426AE" w:rsidRDefault="000917D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C13083A" w14:textId="77777777" w:rsidR="002426AE" w:rsidRDefault="000917D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12F8FA5" w14:textId="77777777" w:rsidR="002426AE" w:rsidRDefault="000917D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8A684C1" w14:textId="77777777" w:rsidR="002426AE" w:rsidRDefault="000917D2">
            <w:pPr>
              <w:keepNext/>
              <w:keepLines/>
              <w:spacing w:after="0" w:line="240" w:lineRule="auto"/>
              <w:jc w:val="center"/>
            </w:pPr>
            <w:r>
              <w:rPr>
                <w:b/>
                <w:sz w:val="18"/>
              </w:rPr>
              <w:t>Indeks (%)</w:t>
            </w:r>
          </w:p>
        </w:tc>
      </w:tr>
      <w:tr w:rsidR="002426AE" w14:paraId="4D4ECBD1" w14:textId="77777777">
        <w:tblPrEx>
          <w:tblCellMar>
            <w:top w:w="0" w:type="dxa"/>
            <w:bottom w:w="0" w:type="dxa"/>
          </w:tblCellMar>
        </w:tblPrEx>
        <w:trPr>
          <w:cantSplit/>
          <w:trHeight w:val="560"/>
        </w:trPr>
        <w:tc>
          <w:tcPr>
            <w:tcW w:w="700" w:type="dxa"/>
            <w:tcMar>
              <w:top w:w="0" w:type="dxa"/>
              <w:bottom w:w="0" w:type="dxa"/>
            </w:tcMar>
            <w:vAlign w:val="center"/>
          </w:tcPr>
          <w:p w14:paraId="57E0DCEE" w14:textId="77777777" w:rsidR="002426AE" w:rsidRDefault="000917D2">
            <w:pPr>
              <w:keepNext/>
              <w:keepLines/>
              <w:spacing w:after="0" w:line="240" w:lineRule="auto"/>
            </w:pPr>
            <w:r>
              <w:rPr>
                <w:sz w:val="18"/>
              </w:rPr>
              <w:t>426</w:t>
            </w:r>
          </w:p>
        </w:tc>
        <w:tc>
          <w:tcPr>
            <w:tcW w:w="3180" w:type="dxa"/>
            <w:tcMar>
              <w:top w:w="0" w:type="dxa"/>
              <w:bottom w:w="0" w:type="dxa"/>
            </w:tcMar>
            <w:vAlign w:val="center"/>
          </w:tcPr>
          <w:p w14:paraId="688887E6" w14:textId="77777777" w:rsidR="002426AE" w:rsidRDefault="000917D2">
            <w:pPr>
              <w:keepNext/>
              <w:keepLines/>
              <w:spacing w:after="0" w:line="240" w:lineRule="auto"/>
            </w:pPr>
            <w:r>
              <w:rPr>
                <w:sz w:val="18"/>
              </w:rPr>
              <w:t>Nematerijalna proizvedena imovina (šifre 4261 do 4264)</w:t>
            </w:r>
          </w:p>
        </w:tc>
        <w:tc>
          <w:tcPr>
            <w:tcW w:w="700" w:type="dxa"/>
            <w:tcMar>
              <w:top w:w="0" w:type="dxa"/>
              <w:bottom w:w="0" w:type="dxa"/>
            </w:tcMar>
            <w:vAlign w:val="center"/>
          </w:tcPr>
          <w:p w14:paraId="58D282E8" w14:textId="77777777" w:rsidR="002426AE" w:rsidRDefault="000917D2">
            <w:pPr>
              <w:keepNext/>
              <w:keepLines/>
              <w:spacing w:after="0" w:line="240" w:lineRule="auto"/>
            </w:pPr>
            <w:r>
              <w:rPr>
                <w:sz w:val="18"/>
              </w:rPr>
              <w:t>426</w:t>
            </w:r>
          </w:p>
        </w:tc>
        <w:tc>
          <w:tcPr>
            <w:tcW w:w="1860" w:type="dxa"/>
            <w:tcMar>
              <w:top w:w="0" w:type="dxa"/>
              <w:bottom w:w="0" w:type="dxa"/>
            </w:tcMar>
            <w:vAlign w:val="center"/>
          </w:tcPr>
          <w:p w14:paraId="1EF4DDE4" w14:textId="77777777" w:rsidR="002426AE" w:rsidRDefault="000917D2">
            <w:pPr>
              <w:keepNext/>
              <w:keepLines/>
              <w:spacing w:after="0" w:line="240" w:lineRule="auto"/>
              <w:jc w:val="right"/>
            </w:pPr>
            <w:r>
              <w:rPr>
                <w:sz w:val="18"/>
              </w:rPr>
              <w:t>3.125,00</w:t>
            </w:r>
          </w:p>
        </w:tc>
        <w:tc>
          <w:tcPr>
            <w:tcW w:w="1860" w:type="dxa"/>
            <w:tcMar>
              <w:top w:w="0" w:type="dxa"/>
              <w:bottom w:w="0" w:type="dxa"/>
            </w:tcMar>
            <w:vAlign w:val="center"/>
          </w:tcPr>
          <w:p w14:paraId="32F144FA" w14:textId="77777777" w:rsidR="002426AE" w:rsidRDefault="000917D2">
            <w:pPr>
              <w:keepNext/>
              <w:keepLines/>
              <w:spacing w:after="0" w:line="240" w:lineRule="auto"/>
              <w:jc w:val="right"/>
            </w:pPr>
            <w:r>
              <w:rPr>
                <w:sz w:val="18"/>
              </w:rPr>
              <w:t>60.777,78</w:t>
            </w:r>
          </w:p>
        </w:tc>
        <w:tc>
          <w:tcPr>
            <w:tcW w:w="700" w:type="dxa"/>
            <w:tcMar>
              <w:top w:w="0" w:type="dxa"/>
              <w:bottom w:w="0" w:type="dxa"/>
            </w:tcMar>
            <w:vAlign w:val="center"/>
          </w:tcPr>
          <w:p w14:paraId="6CEFF9CB" w14:textId="77777777" w:rsidR="002426AE" w:rsidRDefault="000917D2">
            <w:pPr>
              <w:keepNext/>
              <w:keepLines/>
              <w:spacing w:after="0" w:line="240" w:lineRule="auto"/>
              <w:jc w:val="right"/>
            </w:pPr>
            <w:r>
              <w:rPr>
                <w:sz w:val="18"/>
              </w:rPr>
              <w:t>1944,9</w:t>
            </w:r>
          </w:p>
        </w:tc>
      </w:tr>
    </w:tbl>
    <w:p w14:paraId="62EE007E" w14:textId="77777777" w:rsidR="002426AE" w:rsidRDefault="002426AE">
      <w:pPr>
        <w:spacing w:after="0"/>
      </w:pPr>
    </w:p>
    <w:p w14:paraId="5F95CD5E" w14:textId="77777777" w:rsidR="002426AE" w:rsidRDefault="000917D2">
      <w:r>
        <w:t xml:space="preserve">U odnosu na isto razdoblje prošle godine, nematerijalna proizvedena imovina je značajno povećana radi financiranja usluga projektiranja za nadogradnju školske kuhinje i izgradnju dvorane, implementacije rizika kućne vodoopskrbe i usluge izrade energetskog </w:t>
      </w:r>
      <w:r>
        <w:t>certifikata.</w:t>
      </w:r>
    </w:p>
    <w:p w14:paraId="10F4890F" w14:textId="77777777" w:rsidR="002426AE" w:rsidRDefault="002426AE"/>
    <w:p w14:paraId="103ACC3C" w14:textId="77777777" w:rsidR="002426AE" w:rsidRDefault="000917D2">
      <w:pPr>
        <w:keepNext/>
        <w:spacing w:line="240" w:lineRule="auto"/>
        <w:jc w:val="center"/>
      </w:pPr>
      <w:r>
        <w:rPr>
          <w:b/>
          <w:sz w:val="28"/>
        </w:rPr>
        <w:t>Bilanca</w:t>
      </w:r>
    </w:p>
    <w:p w14:paraId="3AB9CDB9" w14:textId="77777777" w:rsidR="002426AE" w:rsidRDefault="000917D2">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426AE" w14:paraId="1CE4ABB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5160754" w14:textId="77777777" w:rsidR="002426AE" w:rsidRDefault="000917D2">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923E22E" w14:textId="77777777" w:rsidR="002426AE" w:rsidRDefault="000917D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0A8CF2F" w14:textId="77777777" w:rsidR="002426AE" w:rsidRDefault="000917D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7211B0F" w14:textId="77777777" w:rsidR="002426AE" w:rsidRDefault="000917D2">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C17F840" w14:textId="77777777" w:rsidR="002426AE" w:rsidRDefault="000917D2">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E9B7502" w14:textId="77777777" w:rsidR="002426AE" w:rsidRDefault="000917D2">
            <w:pPr>
              <w:keepNext/>
              <w:keepLines/>
              <w:spacing w:after="0" w:line="240" w:lineRule="auto"/>
              <w:jc w:val="center"/>
            </w:pPr>
            <w:r>
              <w:rPr>
                <w:b/>
                <w:sz w:val="18"/>
              </w:rPr>
              <w:t>Indeks (%)</w:t>
            </w:r>
          </w:p>
        </w:tc>
      </w:tr>
      <w:tr w:rsidR="002426AE" w14:paraId="6A48B1F1" w14:textId="77777777">
        <w:tblPrEx>
          <w:tblCellMar>
            <w:top w:w="0" w:type="dxa"/>
            <w:bottom w:w="0" w:type="dxa"/>
          </w:tblCellMar>
        </w:tblPrEx>
        <w:trPr>
          <w:cantSplit/>
          <w:trHeight w:val="560"/>
        </w:trPr>
        <w:tc>
          <w:tcPr>
            <w:tcW w:w="700" w:type="dxa"/>
            <w:tcMar>
              <w:top w:w="0" w:type="dxa"/>
              <w:bottom w:w="0" w:type="dxa"/>
            </w:tcMar>
            <w:vAlign w:val="center"/>
          </w:tcPr>
          <w:p w14:paraId="0B9B503D" w14:textId="77777777" w:rsidR="002426AE" w:rsidRDefault="000917D2">
            <w:pPr>
              <w:keepNext/>
              <w:keepLines/>
              <w:spacing w:after="0" w:line="240" w:lineRule="auto"/>
            </w:pPr>
            <w:r>
              <w:rPr>
                <w:sz w:val="18"/>
              </w:rPr>
              <w:t>012</w:t>
            </w:r>
          </w:p>
        </w:tc>
        <w:tc>
          <w:tcPr>
            <w:tcW w:w="3180" w:type="dxa"/>
            <w:tcMar>
              <w:top w:w="0" w:type="dxa"/>
              <w:bottom w:w="0" w:type="dxa"/>
            </w:tcMar>
            <w:vAlign w:val="center"/>
          </w:tcPr>
          <w:p w14:paraId="6061EAB5" w14:textId="77777777" w:rsidR="002426AE" w:rsidRDefault="000917D2">
            <w:pPr>
              <w:keepNext/>
              <w:keepLines/>
              <w:spacing w:after="0" w:line="240" w:lineRule="auto"/>
            </w:pPr>
            <w:r>
              <w:rPr>
                <w:sz w:val="18"/>
              </w:rPr>
              <w:t>Nematerijalna imovina</w:t>
            </w:r>
          </w:p>
        </w:tc>
        <w:tc>
          <w:tcPr>
            <w:tcW w:w="700" w:type="dxa"/>
            <w:tcMar>
              <w:top w:w="0" w:type="dxa"/>
              <w:bottom w:w="0" w:type="dxa"/>
            </w:tcMar>
            <w:vAlign w:val="center"/>
          </w:tcPr>
          <w:p w14:paraId="27760496" w14:textId="77777777" w:rsidR="002426AE" w:rsidRDefault="000917D2">
            <w:pPr>
              <w:keepNext/>
              <w:keepLines/>
              <w:spacing w:after="0" w:line="240" w:lineRule="auto"/>
            </w:pPr>
            <w:r>
              <w:rPr>
                <w:sz w:val="18"/>
              </w:rPr>
              <w:t>012</w:t>
            </w:r>
          </w:p>
        </w:tc>
        <w:tc>
          <w:tcPr>
            <w:tcW w:w="1860" w:type="dxa"/>
            <w:tcMar>
              <w:top w:w="0" w:type="dxa"/>
              <w:bottom w:w="0" w:type="dxa"/>
            </w:tcMar>
            <w:vAlign w:val="center"/>
          </w:tcPr>
          <w:p w14:paraId="759AB85E" w14:textId="77777777" w:rsidR="002426AE" w:rsidRDefault="000917D2">
            <w:pPr>
              <w:keepNext/>
              <w:keepLines/>
              <w:spacing w:after="0" w:line="240" w:lineRule="auto"/>
              <w:jc w:val="right"/>
            </w:pPr>
            <w:r>
              <w:rPr>
                <w:sz w:val="18"/>
              </w:rPr>
              <w:t>3.125,00</w:t>
            </w:r>
          </w:p>
        </w:tc>
        <w:tc>
          <w:tcPr>
            <w:tcW w:w="1860" w:type="dxa"/>
            <w:tcMar>
              <w:top w:w="0" w:type="dxa"/>
              <w:bottom w:w="0" w:type="dxa"/>
            </w:tcMar>
            <w:vAlign w:val="center"/>
          </w:tcPr>
          <w:p w14:paraId="4B9FF219" w14:textId="77777777" w:rsidR="002426AE" w:rsidRDefault="000917D2">
            <w:pPr>
              <w:keepNext/>
              <w:keepLines/>
              <w:spacing w:after="0" w:line="240" w:lineRule="auto"/>
              <w:jc w:val="right"/>
            </w:pPr>
            <w:r>
              <w:rPr>
                <w:sz w:val="18"/>
              </w:rPr>
              <w:t>63.902,78</w:t>
            </w:r>
          </w:p>
        </w:tc>
        <w:tc>
          <w:tcPr>
            <w:tcW w:w="700" w:type="dxa"/>
            <w:tcMar>
              <w:top w:w="0" w:type="dxa"/>
              <w:bottom w:w="0" w:type="dxa"/>
            </w:tcMar>
            <w:vAlign w:val="center"/>
          </w:tcPr>
          <w:p w14:paraId="52177DFA" w14:textId="77777777" w:rsidR="002426AE" w:rsidRDefault="000917D2">
            <w:pPr>
              <w:keepNext/>
              <w:keepLines/>
              <w:spacing w:after="0" w:line="240" w:lineRule="auto"/>
              <w:jc w:val="right"/>
            </w:pPr>
            <w:r>
              <w:rPr>
                <w:sz w:val="18"/>
              </w:rPr>
              <w:t>2044,9</w:t>
            </w:r>
          </w:p>
        </w:tc>
      </w:tr>
    </w:tbl>
    <w:p w14:paraId="01DF4764" w14:textId="77777777" w:rsidR="002426AE" w:rsidRDefault="002426AE">
      <w:pPr>
        <w:spacing w:after="0"/>
      </w:pPr>
    </w:p>
    <w:p w14:paraId="6DC27CD3" w14:textId="77777777" w:rsidR="002426AE" w:rsidRDefault="000917D2">
      <w:r>
        <w:t>U odnosu na isto razdoblje prošle godine, nematerijalna imovina je značajno povećana radi financiranja usluga projektiranja za nadogradnju školske kuhinje i izgradnju dvorane, implementacije rizika kućne vodoopskrbe i usluge izrade energetskog certifikata.</w:t>
      </w:r>
    </w:p>
    <w:p w14:paraId="593B9F04" w14:textId="77777777" w:rsidR="002426AE" w:rsidRDefault="002426AE"/>
    <w:p w14:paraId="5F5050AA" w14:textId="77777777" w:rsidR="002426AE" w:rsidRDefault="000917D2">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426AE" w14:paraId="4A538B7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7337F66" w14:textId="77777777" w:rsidR="002426AE" w:rsidRDefault="000917D2">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DAB2645" w14:textId="77777777" w:rsidR="002426AE" w:rsidRDefault="000917D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9E82A71" w14:textId="77777777" w:rsidR="002426AE" w:rsidRDefault="000917D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AB0F0D0" w14:textId="77777777" w:rsidR="002426AE" w:rsidRDefault="000917D2">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1134B82" w14:textId="77777777" w:rsidR="002426AE" w:rsidRDefault="000917D2">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C447BF0" w14:textId="77777777" w:rsidR="002426AE" w:rsidRDefault="000917D2">
            <w:pPr>
              <w:keepNext/>
              <w:keepLines/>
              <w:spacing w:after="0" w:line="240" w:lineRule="auto"/>
              <w:jc w:val="center"/>
            </w:pPr>
            <w:r>
              <w:rPr>
                <w:b/>
                <w:sz w:val="18"/>
              </w:rPr>
              <w:t>Indeks (%)</w:t>
            </w:r>
          </w:p>
        </w:tc>
      </w:tr>
      <w:tr w:rsidR="002426AE" w14:paraId="3A154D17" w14:textId="77777777">
        <w:tblPrEx>
          <w:tblCellMar>
            <w:top w:w="0" w:type="dxa"/>
            <w:bottom w:w="0" w:type="dxa"/>
          </w:tblCellMar>
        </w:tblPrEx>
        <w:trPr>
          <w:cantSplit/>
          <w:trHeight w:val="560"/>
        </w:trPr>
        <w:tc>
          <w:tcPr>
            <w:tcW w:w="700" w:type="dxa"/>
            <w:tcMar>
              <w:top w:w="0" w:type="dxa"/>
              <w:bottom w:w="0" w:type="dxa"/>
            </w:tcMar>
            <w:vAlign w:val="center"/>
          </w:tcPr>
          <w:p w14:paraId="021B35E5" w14:textId="77777777" w:rsidR="002426AE" w:rsidRDefault="000917D2">
            <w:pPr>
              <w:keepNext/>
              <w:keepLines/>
              <w:spacing w:after="0" w:line="240" w:lineRule="auto"/>
            </w:pPr>
            <w:r>
              <w:rPr>
                <w:sz w:val="18"/>
              </w:rPr>
              <w:t>16</w:t>
            </w:r>
          </w:p>
        </w:tc>
        <w:tc>
          <w:tcPr>
            <w:tcW w:w="3180" w:type="dxa"/>
            <w:tcMar>
              <w:top w:w="0" w:type="dxa"/>
              <w:bottom w:w="0" w:type="dxa"/>
            </w:tcMar>
            <w:vAlign w:val="center"/>
          </w:tcPr>
          <w:p w14:paraId="68EF52DA" w14:textId="77777777" w:rsidR="002426AE" w:rsidRDefault="000917D2">
            <w:pPr>
              <w:keepNext/>
              <w:keepLines/>
              <w:spacing w:after="0" w:line="240" w:lineRule="auto"/>
            </w:pPr>
            <w:r>
              <w:rPr>
                <w:sz w:val="18"/>
              </w:rPr>
              <w:t>Potraživanja za prihode poslovanja (šifre 161 do 163 + 164 do 168-169)</w:t>
            </w:r>
          </w:p>
        </w:tc>
        <w:tc>
          <w:tcPr>
            <w:tcW w:w="700" w:type="dxa"/>
            <w:tcMar>
              <w:top w:w="0" w:type="dxa"/>
              <w:bottom w:w="0" w:type="dxa"/>
            </w:tcMar>
            <w:vAlign w:val="center"/>
          </w:tcPr>
          <w:p w14:paraId="404A6C09" w14:textId="77777777" w:rsidR="002426AE" w:rsidRDefault="000917D2">
            <w:pPr>
              <w:keepNext/>
              <w:keepLines/>
              <w:spacing w:after="0" w:line="240" w:lineRule="auto"/>
            </w:pPr>
            <w:r>
              <w:rPr>
                <w:sz w:val="18"/>
              </w:rPr>
              <w:t>16</w:t>
            </w:r>
          </w:p>
        </w:tc>
        <w:tc>
          <w:tcPr>
            <w:tcW w:w="1860" w:type="dxa"/>
            <w:tcMar>
              <w:top w:w="0" w:type="dxa"/>
              <w:bottom w:w="0" w:type="dxa"/>
            </w:tcMar>
            <w:vAlign w:val="center"/>
          </w:tcPr>
          <w:p w14:paraId="021F62E6" w14:textId="77777777" w:rsidR="002426AE" w:rsidRDefault="000917D2">
            <w:pPr>
              <w:keepNext/>
              <w:keepLines/>
              <w:spacing w:after="0" w:line="240" w:lineRule="auto"/>
              <w:jc w:val="right"/>
            </w:pPr>
            <w:r>
              <w:rPr>
                <w:sz w:val="18"/>
              </w:rPr>
              <w:t>2.910,86</w:t>
            </w:r>
          </w:p>
        </w:tc>
        <w:tc>
          <w:tcPr>
            <w:tcW w:w="1860" w:type="dxa"/>
            <w:tcMar>
              <w:top w:w="0" w:type="dxa"/>
              <w:bottom w:w="0" w:type="dxa"/>
            </w:tcMar>
            <w:vAlign w:val="center"/>
          </w:tcPr>
          <w:p w14:paraId="0921CBED" w14:textId="77777777" w:rsidR="002426AE" w:rsidRDefault="000917D2">
            <w:pPr>
              <w:keepNext/>
              <w:keepLines/>
              <w:spacing w:after="0" w:line="240" w:lineRule="auto"/>
              <w:jc w:val="right"/>
            </w:pPr>
            <w:r>
              <w:rPr>
                <w:sz w:val="18"/>
              </w:rPr>
              <w:t>59.471,28</w:t>
            </w:r>
          </w:p>
        </w:tc>
        <w:tc>
          <w:tcPr>
            <w:tcW w:w="700" w:type="dxa"/>
            <w:tcMar>
              <w:top w:w="0" w:type="dxa"/>
              <w:bottom w:w="0" w:type="dxa"/>
            </w:tcMar>
            <w:vAlign w:val="center"/>
          </w:tcPr>
          <w:p w14:paraId="709909AE" w14:textId="77777777" w:rsidR="002426AE" w:rsidRDefault="000917D2">
            <w:pPr>
              <w:keepNext/>
              <w:keepLines/>
              <w:spacing w:after="0" w:line="240" w:lineRule="auto"/>
              <w:jc w:val="right"/>
            </w:pPr>
            <w:r>
              <w:rPr>
                <w:sz w:val="18"/>
              </w:rPr>
              <w:t>2043,1</w:t>
            </w:r>
          </w:p>
        </w:tc>
      </w:tr>
    </w:tbl>
    <w:p w14:paraId="5E3B43D8" w14:textId="77777777" w:rsidR="002426AE" w:rsidRDefault="002426AE">
      <w:pPr>
        <w:spacing w:after="0"/>
      </w:pPr>
    </w:p>
    <w:p w14:paraId="22A6A32A" w14:textId="77777777" w:rsidR="002426AE" w:rsidRDefault="000917D2">
      <w:r>
        <w:t>Od početka 2025. godine se na kontu potraživanja za prihode poslovanja knjiže sve pomoći i obračunate plaće od MZOM-a</w:t>
      </w:r>
    </w:p>
    <w:p w14:paraId="6DCE5919" w14:textId="77777777" w:rsidR="002426AE" w:rsidRDefault="002426AE"/>
    <w:p w14:paraId="203D01EE" w14:textId="77777777" w:rsidR="002426AE" w:rsidRDefault="000917D2">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426AE" w14:paraId="4DDE608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F7FC606" w14:textId="77777777" w:rsidR="002426AE" w:rsidRDefault="000917D2">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3DCC7B8" w14:textId="77777777" w:rsidR="002426AE" w:rsidRDefault="000917D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7E6BB22" w14:textId="77777777" w:rsidR="002426AE" w:rsidRDefault="000917D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9A5C04C" w14:textId="77777777" w:rsidR="002426AE" w:rsidRDefault="000917D2">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6CEFF40" w14:textId="77777777" w:rsidR="002426AE" w:rsidRDefault="000917D2">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E22F358" w14:textId="77777777" w:rsidR="002426AE" w:rsidRDefault="000917D2">
            <w:pPr>
              <w:keepNext/>
              <w:keepLines/>
              <w:spacing w:after="0" w:line="240" w:lineRule="auto"/>
              <w:jc w:val="center"/>
            </w:pPr>
            <w:r>
              <w:rPr>
                <w:b/>
                <w:sz w:val="18"/>
              </w:rPr>
              <w:t>Indeks (%)</w:t>
            </w:r>
          </w:p>
        </w:tc>
      </w:tr>
      <w:tr w:rsidR="002426AE" w14:paraId="511A342D" w14:textId="77777777">
        <w:tblPrEx>
          <w:tblCellMar>
            <w:top w:w="0" w:type="dxa"/>
            <w:bottom w:w="0" w:type="dxa"/>
          </w:tblCellMar>
        </w:tblPrEx>
        <w:trPr>
          <w:cantSplit/>
          <w:trHeight w:val="560"/>
        </w:trPr>
        <w:tc>
          <w:tcPr>
            <w:tcW w:w="700" w:type="dxa"/>
            <w:tcMar>
              <w:top w:w="0" w:type="dxa"/>
              <w:bottom w:w="0" w:type="dxa"/>
            </w:tcMar>
            <w:vAlign w:val="center"/>
          </w:tcPr>
          <w:p w14:paraId="672A8BC9" w14:textId="77777777" w:rsidR="002426AE" w:rsidRDefault="000917D2">
            <w:pPr>
              <w:keepNext/>
              <w:keepLines/>
              <w:spacing w:after="0" w:line="240" w:lineRule="auto"/>
            </w:pPr>
            <w:r>
              <w:rPr>
                <w:sz w:val="18"/>
              </w:rPr>
              <w:t>922</w:t>
            </w:r>
          </w:p>
        </w:tc>
        <w:tc>
          <w:tcPr>
            <w:tcW w:w="3180" w:type="dxa"/>
            <w:tcMar>
              <w:top w:w="0" w:type="dxa"/>
              <w:bottom w:w="0" w:type="dxa"/>
            </w:tcMar>
            <w:vAlign w:val="center"/>
          </w:tcPr>
          <w:p w14:paraId="66418F4F" w14:textId="77777777" w:rsidR="002426AE" w:rsidRDefault="000917D2">
            <w:pPr>
              <w:keepNext/>
              <w:keepLines/>
              <w:spacing w:after="0" w:line="240" w:lineRule="auto"/>
            </w:pPr>
            <w:r>
              <w:rPr>
                <w:sz w:val="18"/>
              </w:rPr>
              <w:t xml:space="preserve">Rezultat - </w:t>
            </w:r>
            <w:r>
              <w:rPr>
                <w:sz w:val="18"/>
              </w:rPr>
              <w:t>višak/manjak (šifre 9221-9222)</w:t>
            </w:r>
          </w:p>
        </w:tc>
        <w:tc>
          <w:tcPr>
            <w:tcW w:w="700" w:type="dxa"/>
            <w:tcMar>
              <w:top w:w="0" w:type="dxa"/>
              <w:bottom w:w="0" w:type="dxa"/>
            </w:tcMar>
            <w:vAlign w:val="center"/>
          </w:tcPr>
          <w:p w14:paraId="7C23BC1D" w14:textId="77777777" w:rsidR="002426AE" w:rsidRDefault="000917D2">
            <w:pPr>
              <w:keepNext/>
              <w:keepLines/>
              <w:spacing w:after="0" w:line="240" w:lineRule="auto"/>
            </w:pPr>
            <w:r>
              <w:rPr>
                <w:sz w:val="18"/>
              </w:rPr>
              <w:t>922</w:t>
            </w:r>
          </w:p>
        </w:tc>
        <w:tc>
          <w:tcPr>
            <w:tcW w:w="1860" w:type="dxa"/>
            <w:tcMar>
              <w:top w:w="0" w:type="dxa"/>
              <w:bottom w:w="0" w:type="dxa"/>
            </w:tcMar>
            <w:vAlign w:val="center"/>
          </w:tcPr>
          <w:p w14:paraId="01F48C64" w14:textId="77777777" w:rsidR="002426AE" w:rsidRDefault="000917D2">
            <w:pPr>
              <w:keepNext/>
              <w:keepLines/>
              <w:spacing w:after="0" w:line="240" w:lineRule="auto"/>
              <w:jc w:val="right"/>
            </w:pPr>
            <w:r>
              <w:rPr>
                <w:sz w:val="18"/>
              </w:rPr>
              <w:t>-15.377,29</w:t>
            </w:r>
          </w:p>
        </w:tc>
        <w:tc>
          <w:tcPr>
            <w:tcW w:w="1860" w:type="dxa"/>
            <w:tcMar>
              <w:top w:w="0" w:type="dxa"/>
              <w:bottom w:w="0" w:type="dxa"/>
            </w:tcMar>
            <w:vAlign w:val="center"/>
          </w:tcPr>
          <w:p w14:paraId="1DBA8284" w14:textId="77777777" w:rsidR="002426AE" w:rsidRDefault="000917D2">
            <w:pPr>
              <w:keepNext/>
              <w:keepLines/>
              <w:spacing w:after="0" w:line="240" w:lineRule="auto"/>
              <w:jc w:val="right"/>
            </w:pPr>
            <w:r>
              <w:rPr>
                <w:sz w:val="18"/>
              </w:rPr>
              <w:t>-65.742,22</w:t>
            </w:r>
          </w:p>
        </w:tc>
        <w:tc>
          <w:tcPr>
            <w:tcW w:w="700" w:type="dxa"/>
            <w:tcMar>
              <w:top w:w="0" w:type="dxa"/>
              <w:bottom w:w="0" w:type="dxa"/>
            </w:tcMar>
            <w:vAlign w:val="center"/>
          </w:tcPr>
          <w:p w14:paraId="172DBF8D" w14:textId="77777777" w:rsidR="002426AE" w:rsidRDefault="000917D2">
            <w:pPr>
              <w:keepNext/>
              <w:keepLines/>
              <w:spacing w:after="0" w:line="240" w:lineRule="auto"/>
              <w:jc w:val="right"/>
            </w:pPr>
            <w:r>
              <w:rPr>
                <w:sz w:val="18"/>
              </w:rPr>
              <w:t>427,5</w:t>
            </w:r>
          </w:p>
        </w:tc>
      </w:tr>
    </w:tbl>
    <w:p w14:paraId="755085C6" w14:textId="77777777" w:rsidR="002426AE" w:rsidRDefault="002426AE">
      <w:pPr>
        <w:spacing w:after="0"/>
      </w:pPr>
    </w:p>
    <w:p w14:paraId="2D28FE8F" w14:textId="77777777" w:rsidR="002426AE" w:rsidRDefault="000917D2">
      <w:r>
        <w:t>Manjak prihoda poslovanja je osim redovnog izračuna rezultata poslovanja uvećan iz razloga što je u ovom izvještajnom razdoblju ukinut prijelazni konto 193 pa je plaća za 12/2025 iskazana kao trinaesta plaća na rashodima</w:t>
      </w:r>
    </w:p>
    <w:p w14:paraId="18BA70B8" w14:textId="77777777" w:rsidR="002426AE" w:rsidRDefault="002426AE"/>
    <w:p w14:paraId="4383023C" w14:textId="77777777" w:rsidR="002426AE" w:rsidRDefault="000917D2">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426AE" w14:paraId="376E16E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3F984E7" w14:textId="77777777" w:rsidR="002426AE" w:rsidRDefault="000917D2">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66C41DF" w14:textId="77777777" w:rsidR="002426AE" w:rsidRDefault="000917D2">
            <w:pPr>
              <w:keepNext/>
              <w:keepLines/>
              <w:spacing w:after="0" w:line="240" w:lineRule="auto"/>
              <w:jc w:val="center"/>
            </w:pPr>
            <w:r>
              <w:rPr>
                <w:b/>
                <w:sz w:val="18"/>
              </w:rPr>
              <w:t>O</w:t>
            </w:r>
            <w:r>
              <w:rPr>
                <w:b/>
                <w:sz w:val="18"/>
              </w:rPr>
              <w:t>pis stavke</w:t>
            </w:r>
          </w:p>
        </w:tc>
        <w:tc>
          <w:tcPr>
            <w:tcW w:w="700" w:type="dxa"/>
            <w:shd w:val="clear" w:color="auto" w:fill="E7F0F9"/>
            <w:tcMar>
              <w:top w:w="0" w:type="dxa"/>
              <w:bottom w:w="0" w:type="dxa"/>
            </w:tcMar>
            <w:vAlign w:val="center"/>
          </w:tcPr>
          <w:p w14:paraId="6227EB71" w14:textId="77777777" w:rsidR="002426AE" w:rsidRDefault="000917D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0802951" w14:textId="77777777" w:rsidR="002426AE" w:rsidRDefault="000917D2">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FBDC50B" w14:textId="77777777" w:rsidR="002426AE" w:rsidRDefault="000917D2">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E3D0ECF" w14:textId="77777777" w:rsidR="002426AE" w:rsidRDefault="000917D2">
            <w:pPr>
              <w:keepNext/>
              <w:keepLines/>
              <w:spacing w:after="0" w:line="240" w:lineRule="auto"/>
              <w:jc w:val="center"/>
            </w:pPr>
            <w:r>
              <w:rPr>
                <w:b/>
                <w:sz w:val="18"/>
              </w:rPr>
              <w:t>Indeks (%)</w:t>
            </w:r>
          </w:p>
        </w:tc>
      </w:tr>
      <w:tr w:rsidR="002426AE" w14:paraId="79C7E6EB" w14:textId="77777777">
        <w:tblPrEx>
          <w:tblCellMar>
            <w:top w:w="0" w:type="dxa"/>
            <w:bottom w:w="0" w:type="dxa"/>
          </w:tblCellMar>
        </w:tblPrEx>
        <w:trPr>
          <w:cantSplit/>
          <w:trHeight w:val="560"/>
        </w:trPr>
        <w:tc>
          <w:tcPr>
            <w:tcW w:w="700" w:type="dxa"/>
            <w:tcMar>
              <w:top w:w="0" w:type="dxa"/>
              <w:bottom w:w="0" w:type="dxa"/>
            </w:tcMar>
            <w:vAlign w:val="center"/>
          </w:tcPr>
          <w:p w14:paraId="157197ED" w14:textId="77777777" w:rsidR="002426AE" w:rsidRDefault="000917D2">
            <w:pPr>
              <w:keepNext/>
              <w:keepLines/>
              <w:spacing w:after="0" w:line="240" w:lineRule="auto"/>
            </w:pPr>
            <w:r>
              <w:rPr>
                <w:sz w:val="18"/>
              </w:rPr>
              <w:t>dio 16</w:t>
            </w:r>
          </w:p>
        </w:tc>
        <w:tc>
          <w:tcPr>
            <w:tcW w:w="3180" w:type="dxa"/>
            <w:tcMar>
              <w:top w:w="0" w:type="dxa"/>
              <w:bottom w:w="0" w:type="dxa"/>
            </w:tcMar>
            <w:vAlign w:val="center"/>
          </w:tcPr>
          <w:p w14:paraId="41DE2A2D" w14:textId="77777777" w:rsidR="002426AE" w:rsidRDefault="000917D2">
            <w:pPr>
              <w:keepNext/>
              <w:keepLines/>
              <w:spacing w:after="0" w:line="240" w:lineRule="auto"/>
            </w:pPr>
            <w:r>
              <w:rPr>
                <w:sz w:val="18"/>
              </w:rPr>
              <w:t>Potraživanja za prihode poslovanja - nedospjela</w:t>
            </w:r>
          </w:p>
        </w:tc>
        <w:tc>
          <w:tcPr>
            <w:tcW w:w="700" w:type="dxa"/>
            <w:tcMar>
              <w:top w:w="0" w:type="dxa"/>
              <w:bottom w:w="0" w:type="dxa"/>
            </w:tcMar>
            <w:vAlign w:val="center"/>
          </w:tcPr>
          <w:p w14:paraId="0304DA57" w14:textId="77777777" w:rsidR="002426AE" w:rsidRDefault="000917D2">
            <w:pPr>
              <w:keepNext/>
              <w:keepLines/>
              <w:spacing w:after="0" w:line="240" w:lineRule="auto"/>
            </w:pPr>
            <w:r>
              <w:rPr>
                <w:sz w:val="18"/>
              </w:rPr>
              <w:t>dio 16 N</w:t>
            </w:r>
          </w:p>
        </w:tc>
        <w:tc>
          <w:tcPr>
            <w:tcW w:w="1860" w:type="dxa"/>
            <w:tcMar>
              <w:top w:w="0" w:type="dxa"/>
              <w:bottom w:w="0" w:type="dxa"/>
            </w:tcMar>
            <w:vAlign w:val="center"/>
          </w:tcPr>
          <w:p w14:paraId="6C38F4D9" w14:textId="77777777" w:rsidR="002426AE" w:rsidRDefault="000917D2">
            <w:pPr>
              <w:keepNext/>
              <w:keepLines/>
              <w:spacing w:after="0" w:line="240" w:lineRule="auto"/>
              <w:jc w:val="right"/>
            </w:pPr>
            <w:r>
              <w:rPr>
                <w:sz w:val="18"/>
              </w:rPr>
              <w:t>2.910,86</w:t>
            </w:r>
          </w:p>
        </w:tc>
        <w:tc>
          <w:tcPr>
            <w:tcW w:w="1860" w:type="dxa"/>
            <w:tcMar>
              <w:top w:w="0" w:type="dxa"/>
              <w:bottom w:w="0" w:type="dxa"/>
            </w:tcMar>
            <w:vAlign w:val="center"/>
          </w:tcPr>
          <w:p w14:paraId="60162058" w14:textId="77777777" w:rsidR="002426AE" w:rsidRDefault="000917D2">
            <w:pPr>
              <w:keepNext/>
              <w:keepLines/>
              <w:spacing w:after="0" w:line="240" w:lineRule="auto"/>
              <w:jc w:val="right"/>
            </w:pPr>
            <w:r>
              <w:rPr>
                <w:sz w:val="18"/>
              </w:rPr>
              <w:t>59.471,28</w:t>
            </w:r>
          </w:p>
        </w:tc>
        <w:tc>
          <w:tcPr>
            <w:tcW w:w="700" w:type="dxa"/>
            <w:tcMar>
              <w:top w:w="0" w:type="dxa"/>
              <w:bottom w:w="0" w:type="dxa"/>
            </w:tcMar>
            <w:vAlign w:val="center"/>
          </w:tcPr>
          <w:p w14:paraId="4BE3B5F2" w14:textId="77777777" w:rsidR="002426AE" w:rsidRDefault="000917D2">
            <w:pPr>
              <w:keepNext/>
              <w:keepLines/>
              <w:spacing w:after="0" w:line="240" w:lineRule="auto"/>
              <w:jc w:val="right"/>
            </w:pPr>
            <w:r>
              <w:rPr>
                <w:sz w:val="18"/>
              </w:rPr>
              <w:t>2043,1</w:t>
            </w:r>
          </w:p>
        </w:tc>
      </w:tr>
    </w:tbl>
    <w:p w14:paraId="04F2B5B1" w14:textId="77777777" w:rsidR="002426AE" w:rsidRDefault="002426AE">
      <w:pPr>
        <w:spacing w:after="0"/>
      </w:pPr>
    </w:p>
    <w:p w14:paraId="6E310590" w14:textId="77777777" w:rsidR="002426AE" w:rsidRDefault="000917D2">
      <w:r>
        <w:t>Nedospjela potraživanja za prihode poslovanja se najvećim dijelom odnose na plaću za 12/2025. koja će biti isplaćena u siječnju 2026.</w:t>
      </w:r>
    </w:p>
    <w:p w14:paraId="69AF6357" w14:textId="77777777" w:rsidR="002426AE" w:rsidRDefault="002426AE"/>
    <w:p w14:paraId="0882EE87" w14:textId="77777777" w:rsidR="002426AE" w:rsidRDefault="000917D2">
      <w:pPr>
        <w:keepNext/>
        <w:spacing w:line="240" w:lineRule="auto"/>
        <w:jc w:val="center"/>
      </w:pPr>
      <w:r>
        <w:rPr>
          <w:b/>
          <w:sz w:val="28"/>
        </w:rPr>
        <w:t>Promjene u vrijednosti i obujmu imovine i obveza</w:t>
      </w:r>
    </w:p>
    <w:p w14:paraId="2205766E" w14:textId="77777777" w:rsidR="002426AE" w:rsidRDefault="000917D2">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426AE" w14:paraId="7188E7F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69D1514" w14:textId="77777777" w:rsidR="002426AE" w:rsidRDefault="000917D2">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33E862C" w14:textId="77777777" w:rsidR="002426AE" w:rsidRDefault="000917D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0ADFAA8" w14:textId="77777777" w:rsidR="002426AE" w:rsidRDefault="000917D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D75F379" w14:textId="77777777" w:rsidR="002426AE" w:rsidRDefault="000917D2">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010A26C7" w14:textId="77777777" w:rsidR="002426AE" w:rsidRDefault="000917D2">
            <w:pPr>
              <w:keepNext/>
              <w:keepLines/>
              <w:spacing w:after="0" w:line="240" w:lineRule="auto"/>
              <w:jc w:val="center"/>
            </w:pPr>
            <w:r>
              <w:rPr>
                <w:b/>
                <w:sz w:val="18"/>
              </w:rPr>
              <w:t>Iznos</w:t>
            </w:r>
            <w:r>
              <w:rPr>
                <w:b/>
                <w:sz w:val="18"/>
              </w:rPr>
              <w:t xml:space="preserve"> smanjenja</w:t>
            </w:r>
          </w:p>
        </w:tc>
        <w:tc>
          <w:tcPr>
            <w:tcW w:w="700" w:type="dxa"/>
            <w:shd w:val="clear" w:color="auto" w:fill="E7F0F9"/>
            <w:tcMar>
              <w:top w:w="0" w:type="dxa"/>
              <w:bottom w:w="0" w:type="dxa"/>
            </w:tcMar>
            <w:vAlign w:val="center"/>
          </w:tcPr>
          <w:p w14:paraId="7D7E4E25" w14:textId="77777777" w:rsidR="002426AE" w:rsidRDefault="000917D2">
            <w:pPr>
              <w:keepNext/>
              <w:keepLines/>
              <w:spacing w:after="0" w:line="240" w:lineRule="auto"/>
              <w:jc w:val="center"/>
            </w:pPr>
            <w:r>
              <w:rPr>
                <w:b/>
                <w:sz w:val="18"/>
              </w:rPr>
              <w:t>Indeks (%)</w:t>
            </w:r>
          </w:p>
        </w:tc>
      </w:tr>
      <w:tr w:rsidR="002426AE" w14:paraId="166DB313" w14:textId="77777777">
        <w:tblPrEx>
          <w:tblCellMar>
            <w:top w:w="0" w:type="dxa"/>
            <w:bottom w:w="0" w:type="dxa"/>
          </w:tblCellMar>
        </w:tblPrEx>
        <w:trPr>
          <w:cantSplit/>
          <w:trHeight w:val="560"/>
        </w:trPr>
        <w:tc>
          <w:tcPr>
            <w:tcW w:w="700" w:type="dxa"/>
            <w:tcMar>
              <w:top w:w="0" w:type="dxa"/>
              <w:bottom w:w="0" w:type="dxa"/>
            </w:tcMar>
            <w:vAlign w:val="center"/>
          </w:tcPr>
          <w:p w14:paraId="2C36C95E" w14:textId="77777777" w:rsidR="002426AE" w:rsidRDefault="000917D2">
            <w:pPr>
              <w:keepNext/>
              <w:keepLines/>
              <w:spacing w:after="0" w:line="240" w:lineRule="auto"/>
            </w:pPr>
            <w:r>
              <w:rPr>
                <w:sz w:val="18"/>
              </w:rPr>
              <w:t>9151</w:t>
            </w:r>
          </w:p>
        </w:tc>
        <w:tc>
          <w:tcPr>
            <w:tcW w:w="3180" w:type="dxa"/>
            <w:tcMar>
              <w:top w:w="0" w:type="dxa"/>
              <w:bottom w:w="0" w:type="dxa"/>
            </w:tcMar>
            <w:vAlign w:val="center"/>
          </w:tcPr>
          <w:p w14:paraId="4CD7D345" w14:textId="77777777" w:rsidR="002426AE" w:rsidRDefault="000917D2">
            <w:pPr>
              <w:keepNext/>
              <w:keepLines/>
              <w:spacing w:after="0" w:line="240" w:lineRule="auto"/>
            </w:pPr>
            <w:r>
              <w:rPr>
                <w:sz w:val="18"/>
              </w:rPr>
              <w:t>Promjene u vrijednosti i obujmu imovine (šifre 91511+91512)</w:t>
            </w:r>
          </w:p>
        </w:tc>
        <w:tc>
          <w:tcPr>
            <w:tcW w:w="700" w:type="dxa"/>
            <w:tcMar>
              <w:top w:w="0" w:type="dxa"/>
              <w:bottom w:w="0" w:type="dxa"/>
            </w:tcMar>
            <w:vAlign w:val="center"/>
          </w:tcPr>
          <w:p w14:paraId="0ED0D9C8" w14:textId="77777777" w:rsidR="002426AE" w:rsidRDefault="000917D2">
            <w:pPr>
              <w:keepNext/>
              <w:keepLines/>
              <w:spacing w:after="0" w:line="240" w:lineRule="auto"/>
            </w:pPr>
            <w:r>
              <w:rPr>
                <w:sz w:val="18"/>
              </w:rPr>
              <w:t>9151</w:t>
            </w:r>
          </w:p>
        </w:tc>
        <w:tc>
          <w:tcPr>
            <w:tcW w:w="1860" w:type="dxa"/>
            <w:tcMar>
              <w:top w:w="0" w:type="dxa"/>
              <w:bottom w:w="0" w:type="dxa"/>
            </w:tcMar>
            <w:vAlign w:val="center"/>
          </w:tcPr>
          <w:p w14:paraId="7D3F8DB7" w14:textId="77777777" w:rsidR="002426AE" w:rsidRDefault="000917D2">
            <w:pPr>
              <w:keepNext/>
              <w:keepLines/>
              <w:spacing w:after="0" w:line="240" w:lineRule="auto"/>
              <w:jc w:val="right"/>
            </w:pPr>
            <w:r>
              <w:rPr>
                <w:sz w:val="18"/>
              </w:rPr>
              <w:t>22,68</w:t>
            </w:r>
          </w:p>
        </w:tc>
        <w:tc>
          <w:tcPr>
            <w:tcW w:w="1860" w:type="dxa"/>
            <w:tcMar>
              <w:top w:w="0" w:type="dxa"/>
              <w:bottom w:w="0" w:type="dxa"/>
            </w:tcMar>
            <w:vAlign w:val="center"/>
          </w:tcPr>
          <w:p w14:paraId="0A2CB14D" w14:textId="77777777" w:rsidR="002426AE" w:rsidRDefault="000917D2">
            <w:pPr>
              <w:keepNext/>
              <w:keepLines/>
              <w:spacing w:after="0" w:line="240" w:lineRule="auto"/>
              <w:jc w:val="right"/>
            </w:pPr>
            <w:r>
              <w:rPr>
                <w:sz w:val="18"/>
              </w:rPr>
              <w:t>11.818,45</w:t>
            </w:r>
          </w:p>
        </w:tc>
        <w:tc>
          <w:tcPr>
            <w:tcW w:w="700" w:type="dxa"/>
            <w:tcMar>
              <w:top w:w="0" w:type="dxa"/>
              <w:bottom w:w="0" w:type="dxa"/>
            </w:tcMar>
            <w:vAlign w:val="center"/>
          </w:tcPr>
          <w:p w14:paraId="6F9A8859" w14:textId="77777777" w:rsidR="002426AE" w:rsidRDefault="000917D2">
            <w:pPr>
              <w:keepNext/>
              <w:keepLines/>
              <w:spacing w:after="0" w:line="240" w:lineRule="auto"/>
              <w:jc w:val="right"/>
            </w:pPr>
            <w:r>
              <w:rPr>
                <w:sz w:val="18"/>
              </w:rPr>
              <w:t>&gt;&gt;100</w:t>
            </w:r>
          </w:p>
        </w:tc>
      </w:tr>
    </w:tbl>
    <w:p w14:paraId="097B9362" w14:textId="77777777" w:rsidR="002426AE" w:rsidRDefault="002426AE">
      <w:pPr>
        <w:spacing w:after="0"/>
      </w:pPr>
    </w:p>
    <w:p w14:paraId="64D1C1E8" w14:textId="77777777" w:rsidR="002426AE" w:rsidRDefault="000917D2">
      <w:r>
        <w:t>Do povećanja u vrijednosti i obujmu imovine je došlo radi prijenosa vlasništva 2 prijenosna računala sa Carneta na školu, a do smanjenja u vrijednosti i obujmu imovine je došlo amortizacijom postojeće opreme u vlasništvu škole</w:t>
      </w:r>
    </w:p>
    <w:p w14:paraId="5E08E108" w14:textId="77777777" w:rsidR="002426AE" w:rsidRDefault="002426AE"/>
    <w:p w14:paraId="15ADE47F" w14:textId="77777777" w:rsidR="002426AE" w:rsidRDefault="000917D2">
      <w:pPr>
        <w:keepNext/>
        <w:spacing w:line="240" w:lineRule="auto"/>
        <w:jc w:val="center"/>
      </w:pPr>
      <w:r>
        <w:rPr>
          <w:b/>
          <w:sz w:val="28"/>
        </w:rPr>
        <w:t>Izvještaj o obvezama</w:t>
      </w:r>
    </w:p>
    <w:p w14:paraId="4B23A7E4" w14:textId="77777777" w:rsidR="002426AE" w:rsidRDefault="000917D2">
      <w:pPr>
        <w:keepNext/>
        <w:spacing w:line="240" w:lineRule="auto"/>
        <w:jc w:val="center"/>
      </w:pPr>
      <w:r>
        <w:rPr>
          <w:sz w:val="28"/>
        </w:rPr>
        <w:t>Bilješk</w:t>
      </w:r>
      <w:r>
        <w:rPr>
          <w:sz w:val="28"/>
        </w:rPr>
        <w:t>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2426AE" w14:paraId="65D2B07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1ECA1CE" w14:textId="77777777" w:rsidR="002426AE" w:rsidRDefault="000917D2">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E083CB7" w14:textId="77777777" w:rsidR="002426AE" w:rsidRDefault="000917D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D0E335C" w14:textId="77777777" w:rsidR="002426AE" w:rsidRDefault="000917D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4D54C6E" w14:textId="77777777" w:rsidR="002426AE" w:rsidRDefault="000917D2">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25E1E31E" w14:textId="77777777" w:rsidR="002426AE" w:rsidRDefault="000917D2">
            <w:pPr>
              <w:keepNext/>
              <w:keepLines/>
              <w:spacing w:after="0" w:line="240" w:lineRule="auto"/>
              <w:jc w:val="center"/>
            </w:pPr>
            <w:r>
              <w:rPr>
                <w:b/>
                <w:sz w:val="18"/>
              </w:rPr>
              <w:t>Indeks (%)</w:t>
            </w:r>
          </w:p>
        </w:tc>
      </w:tr>
      <w:tr w:rsidR="002426AE" w14:paraId="60DD4B2F" w14:textId="77777777">
        <w:tblPrEx>
          <w:tblCellMar>
            <w:top w:w="0" w:type="dxa"/>
            <w:bottom w:w="0" w:type="dxa"/>
          </w:tblCellMar>
        </w:tblPrEx>
        <w:trPr>
          <w:cantSplit/>
          <w:trHeight w:val="560"/>
        </w:trPr>
        <w:tc>
          <w:tcPr>
            <w:tcW w:w="700" w:type="dxa"/>
            <w:tcMar>
              <w:top w:w="0" w:type="dxa"/>
              <w:bottom w:w="0" w:type="dxa"/>
            </w:tcMar>
            <w:vAlign w:val="center"/>
          </w:tcPr>
          <w:p w14:paraId="5EC9AD42" w14:textId="77777777" w:rsidR="002426AE" w:rsidRDefault="002426AE">
            <w:pPr>
              <w:keepNext/>
              <w:keepLines/>
              <w:spacing w:after="0" w:line="240" w:lineRule="auto"/>
            </w:pPr>
          </w:p>
        </w:tc>
        <w:tc>
          <w:tcPr>
            <w:tcW w:w="3180" w:type="dxa"/>
            <w:tcMar>
              <w:top w:w="0" w:type="dxa"/>
              <w:bottom w:w="0" w:type="dxa"/>
            </w:tcMar>
            <w:vAlign w:val="center"/>
          </w:tcPr>
          <w:p w14:paraId="7A08B4DC" w14:textId="77777777" w:rsidR="002426AE" w:rsidRDefault="000917D2">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3B0F4DBD" w14:textId="77777777" w:rsidR="002426AE" w:rsidRDefault="000917D2">
            <w:pPr>
              <w:keepNext/>
              <w:keepLines/>
              <w:spacing w:after="0" w:line="240" w:lineRule="auto"/>
            </w:pPr>
            <w:r>
              <w:rPr>
                <w:sz w:val="18"/>
              </w:rPr>
              <w:t>V007</w:t>
            </w:r>
          </w:p>
        </w:tc>
        <w:tc>
          <w:tcPr>
            <w:tcW w:w="1860" w:type="dxa"/>
            <w:tcMar>
              <w:top w:w="0" w:type="dxa"/>
              <w:bottom w:w="0" w:type="dxa"/>
            </w:tcMar>
            <w:vAlign w:val="center"/>
          </w:tcPr>
          <w:p w14:paraId="55262234" w14:textId="77777777" w:rsidR="002426AE" w:rsidRDefault="000917D2">
            <w:pPr>
              <w:keepNext/>
              <w:keepLines/>
              <w:spacing w:after="0" w:line="240" w:lineRule="auto"/>
              <w:jc w:val="right"/>
            </w:pPr>
            <w:r>
              <w:rPr>
                <w:sz w:val="18"/>
              </w:rPr>
              <w:t>10.736,14</w:t>
            </w:r>
          </w:p>
        </w:tc>
        <w:tc>
          <w:tcPr>
            <w:tcW w:w="700" w:type="dxa"/>
            <w:tcMar>
              <w:top w:w="0" w:type="dxa"/>
              <w:bottom w:w="0" w:type="dxa"/>
            </w:tcMar>
            <w:vAlign w:val="center"/>
          </w:tcPr>
          <w:p w14:paraId="32FAF6DD" w14:textId="77777777" w:rsidR="002426AE" w:rsidRDefault="000917D2">
            <w:pPr>
              <w:keepNext/>
              <w:keepLines/>
              <w:spacing w:after="0" w:line="240" w:lineRule="auto"/>
              <w:jc w:val="right"/>
            </w:pPr>
            <w:r>
              <w:rPr>
                <w:sz w:val="18"/>
              </w:rPr>
              <w:t>-</w:t>
            </w:r>
          </w:p>
        </w:tc>
      </w:tr>
    </w:tbl>
    <w:p w14:paraId="249A2E2E" w14:textId="77777777" w:rsidR="002426AE" w:rsidRDefault="002426AE">
      <w:pPr>
        <w:spacing w:after="0"/>
      </w:pPr>
    </w:p>
    <w:p w14:paraId="49EA67F6" w14:textId="77777777" w:rsidR="002426AE" w:rsidRDefault="000917D2">
      <w:r>
        <w:t>Dospjele obveze u iznosu od 9.611,14 EUR se odnose na obveze za materijalne rashode, uglavnom su to obveze za režijske troškove iz listopada i studenog za koje nismo imali sredstava u proračunu, te obveze za nabavu nefinancijske imovine - izrada energetsko</w:t>
      </w:r>
      <w:r>
        <w:t>g certifikata u iznosu od 1.125,00 EUR za koje je osnivač osigurao sredstva u proračunu naredne godine.</w:t>
      </w:r>
    </w:p>
    <w:p w14:paraId="40A32C9F" w14:textId="77777777" w:rsidR="002426AE" w:rsidRDefault="002426AE"/>
    <w:sectPr w:rsidR="002426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6AE"/>
    <w:rsid w:val="000917D2"/>
    <w:rsid w:val="002426A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20849"/>
  <w15:docId w15:val="{B83D7D7B-36B0-4A0D-B0F1-DC83EDBD3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1539</Words>
  <Characters>8777</Characters>
  <Application>Microsoft Office Word</Application>
  <DocSecurity>0</DocSecurity>
  <Lines>73</Lines>
  <Paragraphs>20</Paragraphs>
  <ScaleCrop>false</ScaleCrop>
  <Company/>
  <LinksUpToDate>false</LinksUpToDate>
  <CharactersWithSpaces>10296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2026-02-09T10:10:00Z</dcterms:created>
  <dcterms:modified xsi:type="dcterms:W3CDTF">2026-02-09T10:10:00Z</dcterms:modified>
</cp:coreProperties>
</file>